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tbl>
      <w:tblPr>
        <w:tblStyle w:val="ad"/>
        <w:bidiVisual/>
        <w:tblW w:w="8820" w:type="dxa"/>
        <w:tblLook w:val="01E0" w:firstRow="1" w:lastRow="1" w:firstColumn="1" w:lastColumn="1" w:noHBand="0" w:noVBand="0"/>
      </w:tblPr>
      <w:tblGrid>
        <w:gridCol w:w="743"/>
        <w:gridCol w:w="2506"/>
        <w:gridCol w:w="5571"/>
      </w:tblGrid>
      <w:tr w:rsidR="002914D6" w:rsidTr="00B93B3D">
        <w:tc>
          <w:tcPr>
            <w:tcW w:w="743" w:type="dxa"/>
          </w:tcPr>
          <w:p w:rsidR="002914D6" w:rsidRPr="00B40DFD" w:rsidRDefault="00011212" w:rsidP="00B93B3D">
            <w:pPr>
              <w:jc w:val="both"/>
              <w:rPr>
                <w:rFonts w:ascii="David" w:hAnsi="David"/>
                <w:b/>
                <w:bCs/>
                <w:sz w:val="26"/>
                <w:szCs w:val="26"/>
              </w:rPr>
            </w:pPr>
            <w:r w:rsidRPr="00B40DFD">
              <w:rPr>
                <w:rFonts w:ascii="David" w:hAnsi="David"/>
                <w:b/>
                <w:bCs/>
                <w:sz w:val="26"/>
                <w:szCs w:val="26"/>
                <w:rtl/>
              </w:rPr>
              <w:t xml:space="preserve">בפני </w:t>
            </w:r>
          </w:p>
        </w:tc>
        <w:tc>
          <w:tcPr>
            <w:tcW w:w="8077" w:type="dxa"/>
            <w:gridSpan w:val="2"/>
          </w:tcPr>
          <w:p w:rsidR="002914D6" w:rsidRPr="00B40DFD" w:rsidRDefault="00011212" w:rsidP="00B93B3D">
            <w:pPr>
              <w:rPr>
                <w:rFonts w:ascii="David" w:hAnsi="David"/>
                <w:b/>
                <w:bCs/>
                <w:sz w:val="26"/>
                <w:szCs w:val="26"/>
                <w:rtl/>
              </w:rPr>
            </w:pPr>
            <w:r w:rsidRPr="00B40DFD">
              <w:rPr>
                <w:rFonts w:ascii="David" w:hAnsi="David"/>
                <w:b/>
                <w:bCs/>
                <w:sz w:val="26"/>
                <w:szCs w:val="26"/>
                <w:rtl/>
              </w:rPr>
              <w:t>כב' ה</w:t>
            </w:r>
            <w:r w:rsidR="00B93B3D" w:rsidRPr="00B40DFD">
              <w:rPr>
                <w:rFonts w:ascii="David" w:hAnsi="David"/>
                <w:b/>
                <w:bCs/>
                <w:sz w:val="26"/>
                <w:szCs w:val="26"/>
                <w:rtl/>
              </w:rPr>
              <w:t>שופט הבכיר</w:t>
            </w:r>
            <w:r w:rsidRPr="00B40DFD">
              <w:rPr>
                <w:rFonts w:ascii="David" w:hAnsi="David"/>
                <w:b/>
                <w:bCs/>
                <w:sz w:val="26"/>
                <w:szCs w:val="26"/>
                <w:rtl/>
              </w:rPr>
              <w:t xml:space="preserve">  </w:t>
            </w:r>
            <w:sdt>
              <w:sdtPr>
                <w:rPr>
                  <w:rFonts w:ascii="David" w:hAnsi="David"/>
                  <w:sz w:val="26"/>
                  <w:szCs w:val="26"/>
                  <w:rtl/>
                </w:rPr>
                <w:alias w:val="1573"/>
                <w:tag w:val="1573"/>
                <w:id w:val="-137115570"/>
                <w:text w:multiLine="1"/>
              </w:sdtPr>
              <w:sdtEndPr/>
              <w:sdtContent>
                <w:r w:rsidRPr="00B40DFD">
                  <w:rPr>
                    <w:rFonts w:ascii="David" w:hAnsi="David"/>
                    <w:b/>
                    <w:bCs/>
                    <w:sz w:val="26"/>
                    <w:szCs w:val="26"/>
                    <w:rtl/>
                  </w:rPr>
                  <w:t>איתי כץ</w:t>
                </w:r>
              </w:sdtContent>
            </w:sdt>
          </w:p>
          <w:p w:rsidR="002914D6" w:rsidRPr="00B40DFD" w:rsidRDefault="002914D6" w:rsidP="00B93B3D">
            <w:pPr>
              <w:rPr>
                <w:rFonts w:ascii="David" w:hAnsi="David"/>
                <w:sz w:val="26"/>
                <w:szCs w:val="26"/>
                <w:highlight w:val="yellow"/>
              </w:rPr>
            </w:pPr>
          </w:p>
        </w:tc>
      </w:tr>
      <w:tr w:rsidR="002914D6" w:rsidTr="00B93B3D">
        <w:tc>
          <w:tcPr>
            <w:tcW w:w="3249" w:type="dxa"/>
            <w:gridSpan w:val="2"/>
          </w:tcPr>
          <w:p w:rsidR="00413181" w:rsidRPr="00B40DFD" w:rsidRDefault="00E63B14" w:rsidP="00A63212">
            <w:pPr>
              <w:rPr>
                <w:rFonts w:ascii="David" w:hAnsi="David"/>
                <w:b/>
                <w:bCs/>
                <w:noProof w:val="0"/>
                <w:sz w:val="26"/>
                <w:szCs w:val="26"/>
                <w:rtl/>
              </w:rPr>
            </w:pPr>
            <w:sdt>
              <w:sdtPr>
                <w:rPr>
                  <w:rFonts w:ascii="David" w:hAnsi="David"/>
                  <w:sz w:val="26"/>
                  <w:szCs w:val="26"/>
                  <w:rtl/>
                </w:rPr>
                <w:alias w:val="1184"/>
                <w:tag w:val="1184"/>
                <w:id w:val="385841288"/>
                <w:text w:multiLine="1"/>
              </w:sdtPr>
              <w:sdtEndPr/>
              <w:sdtContent>
                <w:r w:rsidR="00BC7426" w:rsidRPr="00B40DFD">
                  <w:rPr>
                    <w:rFonts w:ascii="David" w:hAnsi="David"/>
                    <w:b/>
                    <w:bCs/>
                    <w:noProof w:val="0"/>
                    <w:sz w:val="26"/>
                    <w:szCs w:val="26"/>
                    <w:rtl/>
                  </w:rPr>
                  <w:t>מבקשת (להלן: "האם")</w:t>
                </w:r>
              </w:sdtContent>
            </w:sdt>
          </w:p>
        </w:tc>
        <w:tc>
          <w:tcPr>
            <w:tcW w:w="5571" w:type="dxa"/>
          </w:tcPr>
          <w:p w:rsidR="002914D6" w:rsidRPr="00B40DFD" w:rsidRDefault="00E63B14" w:rsidP="00912F7F">
            <w:pPr>
              <w:rPr>
                <w:rFonts w:ascii="David" w:hAnsi="David"/>
                <w:b/>
                <w:bCs/>
                <w:noProof w:val="0"/>
                <w:sz w:val="26"/>
                <w:szCs w:val="26"/>
              </w:rPr>
            </w:pPr>
            <w:sdt>
              <w:sdtPr>
                <w:rPr>
                  <w:rFonts w:ascii="David" w:hAnsi="David"/>
                  <w:sz w:val="26"/>
                  <w:szCs w:val="26"/>
                  <w:rtl/>
                </w:rPr>
                <w:alias w:val="1486"/>
                <w:tag w:val="1486"/>
                <w:id w:val="-1219885928"/>
                <w:text w:multiLine="1"/>
              </w:sdtPr>
              <w:sdtEndPr/>
              <w:sdtContent>
                <w:r w:rsidR="00912F7F" w:rsidRPr="00B40DFD">
                  <w:rPr>
                    <w:rFonts w:ascii="David" w:hAnsi="David"/>
                    <w:b/>
                    <w:bCs/>
                    <w:noProof w:val="0"/>
                    <w:sz w:val="26"/>
                    <w:szCs w:val="26"/>
                  </w:rPr>
                  <w:t>xxx xxx</w:t>
                </w:r>
              </w:sdtContent>
            </w:sdt>
            <w:r w:rsidR="00BC7426" w:rsidRPr="00B40DFD">
              <w:rPr>
                <w:rFonts w:ascii="David" w:hAnsi="David"/>
                <w:b/>
                <w:bCs/>
                <w:noProof w:val="0"/>
                <w:sz w:val="26"/>
                <w:szCs w:val="26"/>
                <w:rtl/>
              </w:rPr>
              <w:t xml:space="preserve"> </w:t>
            </w:r>
            <w:sdt>
              <w:sdtPr>
                <w:rPr>
                  <w:rFonts w:ascii="David" w:hAnsi="David"/>
                  <w:sz w:val="26"/>
                  <w:szCs w:val="26"/>
                  <w:rtl/>
                </w:rPr>
                <w:alias w:val="2317"/>
                <w:tag w:val="2317"/>
                <w:id w:val="-2133776470"/>
                <w:text w:multiLine="1"/>
              </w:sdtPr>
              <w:sdtEndPr/>
              <w:sdtContent>
                <w:r w:rsidR="00BC7426" w:rsidRPr="00B40DFD">
                  <w:rPr>
                    <w:rFonts w:ascii="David" w:hAnsi="David"/>
                    <w:b/>
                    <w:bCs/>
                    <w:noProof w:val="0"/>
                    <w:sz w:val="26"/>
                    <w:szCs w:val="26"/>
                    <w:rtl/>
                  </w:rPr>
                  <w:t>ת"ז</w:t>
                </w:r>
              </w:sdtContent>
            </w:sdt>
            <w:r w:rsidR="00BC7426" w:rsidRPr="00B40DFD">
              <w:rPr>
                <w:rFonts w:ascii="David" w:hAnsi="David"/>
                <w:b/>
                <w:bCs/>
                <w:noProof w:val="0"/>
                <w:sz w:val="26"/>
                <w:szCs w:val="26"/>
                <w:rtl/>
              </w:rPr>
              <w:t xml:space="preserve"> </w:t>
            </w:r>
            <w:sdt>
              <w:sdtPr>
                <w:rPr>
                  <w:rFonts w:ascii="David" w:hAnsi="David"/>
                  <w:b/>
                  <w:bCs/>
                  <w:sz w:val="26"/>
                  <w:szCs w:val="26"/>
                  <w:rtl/>
                </w:rPr>
                <w:alias w:val="2318"/>
                <w:tag w:val="2318"/>
                <w:id w:val="-282733546"/>
                <w:text w:multiLine="1"/>
              </w:sdtPr>
              <w:sdtEndPr/>
              <w:sdtContent>
                <w:r w:rsidR="00912F7F" w:rsidRPr="00B40DFD">
                  <w:rPr>
                    <w:rFonts w:ascii="David" w:hAnsi="David"/>
                    <w:b/>
                    <w:bCs/>
                    <w:noProof w:val="0"/>
                    <w:sz w:val="26"/>
                    <w:szCs w:val="26"/>
                  </w:rPr>
                  <w:t>xxxxxxxxx</w:t>
                </w:r>
                <w:r w:rsidR="00C70B03" w:rsidRPr="00B40DFD">
                  <w:rPr>
                    <w:rFonts w:ascii="David" w:hAnsi="David"/>
                    <w:b/>
                    <w:bCs/>
                    <w:noProof w:val="0"/>
                    <w:sz w:val="26"/>
                    <w:szCs w:val="26"/>
                    <w:rtl/>
                  </w:rPr>
                  <w:br/>
                </w:r>
                <w:r w:rsidR="00C70B03" w:rsidRPr="00B40DFD">
                  <w:rPr>
                    <w:rFonts w:ascii="David" w:hAnsi="David"/>
                    <w:b/>
                    <w:bCs/>
                    <w:sz w:val="26"/>
                    <w:szCs w:val="26"/>
                    <w:rtl/>
                  </w:rPr>
                  <w:t>ע"י ב"כ עו"ד מרים סרגוסי</w:t>
                </w:r>
              </w:sdtContent>
            </w:sdt>
          </w:p>
        </w:tc>
      </w:tr>
      <w:tr w:rsidR="002914D6" w:rsidTr="00B93B3D">
        <w:tc>
          <w:tcPr>
            <w:tcW w:w="8820" w:type="dxa"/>
            <w:gridSpan w:val="3"/>
          </w:tcPr>
          <w:p w:rsidR="002914D6" w:rsidRPr="00B40DFD" w:rsidRDefault="002914D6" w:rsidP="00B93B3D">
            <w:pPr>
              <w:rPr>
                <w:rFonts w:ascii="David" w:hAnsi="David"/>
                <w:b/>
                <w:bCs/>
                <w:noProof w:val="0"/>
                <w:sz w:val="26"/>
                <w:szCs w:val="26"/>
                <w:rtl/>
              </w:rPr>
            </w:pPr>
          </w:p>
          <w:p w:rsidR="002914D6" w:rsidRPr="00B40DFD" w:rsidRDefault="00011212" w:rsidP="00B93B3D">
            <w:pPr>
              <w:jc w:val="center"/>
              <w:rPr>
                <w:rFonts w:ascii="David" w:hAnsi="David"/>
                <w:b/>
                <w:bCs/>
                <w:noProof w:val="0"/>
                <w:sz w:val="26"/>
                <w:szCs w:val="26"/>
                <w:rtl/>
              </w:rPr>
            </w:pPr>
            <w:r w:rsidRPr="00B40DFD">
              <w:rPr>
                <w:rFonts w:ascii="David" w:hAnsi="David"/>
                <w:b/>
                <w:bCs/>
                <w:noProof w:val="0"/>
                <w:sz w:val="26"/>
                <w:szCs w:val="26"/>
                <w:rtl/>
              </w:rPr>
              <w:t>נגד</w:t>
            </w:r>
          </w:p>
          <w:p w:rsidR="002914D6" w:rsidRPr="00B40DFD" w:rsidRDefault="002914D6" w:rsidP="00B93B3D">
            <w:pPr>
              <w:rPr>
                <w:rFonts w:ascii="David" w:hAnsi="David"/>
                <w:b/>
                <w:bCs/>
                <w:noProof w:val="0"/>
                <w:sz w:val="26"/>
                <w:szCs w:val="26"/>
              </w:rPr>
            </w:pPr>
          </w:p>
        </w:tc>
      </w:tr>
      <w:tr w:rsidR="002914D6" w:rsidTr="00B93B3D">
        <w:tc>
          <w:tcPr>
            <w:tcW w:w="3249" w:type="dxa"/>
            <w:gridSpan w:val="2"/>
          </w:tcPr>
          <w:sdt>
            <w:sdtPr>
              <w:rPr>
                <w:rFonts w:ascii="David" w:hAnsi="David"/>
                <w:sz w:val="26"/>
                <w:szCs w:val="26"/>
                <w:rtl/>
              </w:rPr>
              <w:alias w:val="1180"/>
              <w:tag w:val="1180"/>
              <w:id w:val="2064520869"/>
              <w:text w:multiLine="1"/>
            </w:sdtPr>
            <w:sdtEndPr/>
            <w:sdtContent>
              <w:p w:rsidR="00BC7426" w:rsidRPr="00B40DFD" w:rsidRDefault="00BC7426" w:rsidP="00BC7426">
                <w:pPr>
                  <w:rPr>
                    <w:rFonts w:ascii="David" w:hAnsi="David"/>
                    <w:sz w:val="26"/>
                    <w:szCs w:val="26"/>
                    <w:rtl/>
                  </w:rPr>
                </w:pPr>
                <w:r w:rsidRPr="00B40DFD">
                  <w:rPr>
                    <w:rFonts w:ascii="David" w:hAnsi="David"/>
                    <w:b/>
                    <w:bCs/>
                    <w:noProof w:val="0"/>
                    <w:sz w:val="26"/>
                    <w:szCs w:val="26"/>
                    <w:rtl/>
                  </w:rPr>
                  <w:t>משיב (להלן: "האב")</w:t>
                </w:r>
              </w:p>
            </w:sdtContent>
          </w:sdt>
          <w:p w:rsidR="002914D6" w:rsidRPr="00B40DFD" w:rsidRDefault="002914D6" w:rsidP="00A63212">
            <w:pPr>
              <w:rPr>
                <w:rFonts w:ascii="David" w:hAnsi="David"/>
                <w:b/>
                <w:bCs/>
                <w:noProof w:val="0"/>
                <w:sz w:val="26"/>
                <w:szCs w:val="26"/>
              </w:rPr>
            </w:pPr>
          </w:p>
        </w:tc>
        <w:tc>
          <w:tcPr>
            <w:tcW w:w="5571" w:type="dxa"/>
          </w:tcPr>
          <w:p w:rsidR="002914D6" w:rsidRPr="00B40DFD" w:rsidRDefault="00E63B14" w:rsidP="00B93B3D">
            <w:pPr>
              <w:rPr>
                <w:rFonts w:ascii="David" w:hAnsi="David"/>
                <w:b/>
                <w:bCs/>
                <w:noProof w:val="0"/>
                <w:sz w:val="26"/>
                <w:szCs w:val="26"/>
                <w:rtl/>
              </w:rPr>
            </w:pPr>
            <w:sdt>
              <w:sdtPr>
                <w:rPr>
                  <w:rFonts w:ascii="David" w:hAnsi="David"/>
                  <w:b/>
                  <w:bCs/>
                  <w:sz w:val="26"/>
                  <w:szCs w:val="26"/>
                  <w:rtl/>
                </w:rPr>
                <w:alias w:val="1478"/>
                <w:tag w:val="1478"/>
                <w:id w:val="-2019765730"/>
                <w:text w:multiLine="1"/>
              </w:sdtPr>
              <w:sdtEndPr/>
              <w:sdtContent>
                <w:r w:rsidR="00912F7F" w:rsidRPr="00B40DFD">
                  <w:rPr>
                    <w:rFonts w:ascii="David" w:hAnsi="David"/>
                    <w:b/>
                    <w:bCs/>
                    <w:sz w:val="26"/>
                    <w:szCs w:val="26"/>
                  </w:rPr>
                  <w:t>xxx xxx</w:t>
                </w:r>
              </w:sdtContent>
            </w:sdt>
            <w:r w:rsidR="00BC7426" w:rsidRPr="00B40DFD">
              <w:rPr>
                <w:rFonts w:ascii="David" w:hAnsi="David"/>
                <w:b/>
                <w:bCs/>
                <w:noProof w:val="0"/>
                <w:sz w:val="26"/>
                <w:szCs w:val="26"/>
                <w:rtl/>
              </w:rPr>
              <w:t xml:space="preserve"> </w:t>
            </w:r>
            <w:sdt>
              <w:sdtPr>
                <w:rPr>
                  <w:rFonts w:ascii="David" w:hAnsi="David"/>
                  <w:sz w:val="26"/>
                  <w:szCs w:val="26"/>
                  <w:rtl/>
                </w:rPr>
                <w:alias w:val="2315"/>
                <w:tag w:val="2315"/>
                <w:id w:val="1096443329"/>
                <w:text w:multiLine="1"/>
              </w:sdtPr>
              <w:sdtEndPr/>
              <w:sdtContent>
                <w:r w:rsidR="00BC7426" w:rsidRPr="00B40DFD">
                  <w:rPr>
                    <w:rFonts w:ascii="David" w:hAnsi="David"/>
                    <w:b/>
                    <w:bCs/>
                    <w:noProof w:val="0"/>
                    <w:sz w:val="26"/>
                    <w:szCs w:val="26"/>
                    <w:rtl/>
                  </w:rPr>
                  <w:t>ת"ז</w:t>
                </w:r>
              </w:sdtContent>
            </w:sdt>
            <w:r w:rsidR="00BC7426" w:rsidRPr="00B40DFD">
              <w:rPr>
                <w:rFonts w:ascii="David" w:hAnsi="David"/>
                <w:b/>
                <w:bCs/>
                <w:noProof w:val="0"/>
                <w:sz w:val="26"/>
                <w:szCs w:val="26"/>
                <w:rtl/>
              </w:rPr>
              <w:t xml:space="preserve"> </w:t>
            </w:r>
            <w:sdt>
              <w:sdtPr>
                <w:rPr>
                  <w:rFonts w:ascii="David" w:hAnsi="David"/>
                  <w:b/>
                  <w:bCs/>
                  <w:noProof w:val="0"/>
                  <w:sz w:val="26"/>
                  <w:szCs w:val="26"/>
                  <w:rtl/>
                </w:rPr>
                <w:alias w:val="2316"/>
                <w:tag w:val="2316"/>
                <w:id w:val="-119842878"/>
                <w:text w:multiLine="1"/>
              </w:sdtPr>
              <w:sdtEndPr/>
              <w:sdtContent>
                <w:r w:rsidR="00912F7F" w:rsidRPr="00B40DFD">
                  <w:rPr>
                    <w:rFonts w:ascii="David" w:hAnsi="David"/>
                    <w:b/>
                    <w:bCs/>
                    <w:noProof w:val="0"/>
                    <w:sz w:val="26"/>
                    <w:szCs w:val="26"/>
                  </w:rPr>
                  <w:t>xxxxxxxxx</w:t>
                </w:r>
                <w:r w:rsidR="00912F7F" w:rsidRPr="00B40DFD">
                  <w:rPr>
                    <w:rFonts w:ascii="David" w:hAnsi="David"/>
                    <w:b/>
                    <w:bCs/>
                    <w:noProof w:val="0"/>
                    <w:sz w:val="26"/>
                    <w:szCs w:val="26"/>
                    <w:rtl/>
                  </w:rPr>
                  <w:br/>
                  <w:t>ע"י ב"כ עו"ד נילי שץ</w:t>
                </w:r>
              </w:sdtContent>
            </w:sdt>
          </w:p>
        </w:tc>
      </w:tr>
      <w:tr w:rsidR="00DA714E" w:rsidTr="00B93B3D">
        <w:tc>
          <w:tcPr>
            <w:tcW w:w="8820" w:type="dxa"/>
            <w:gridSpan w:val="3"/>
          </w:tcPr>
          <w:p w:rsidR="00DA714E" w:rsidRPr="00B40DFD" w:rsidRDefault="00DA714E" w:rsidP="00BC7426">
            <w:pPr>
              <w:rPr>
                <w:rFonts w:ascii="David" w:hAnsi="David"/>
                <w:b/>
                <w:bCs/>
                <w:noProof w:val="0"/>
                <w:sz w:val="26"/>
                <w:szCs w:val="26"/>
                <w:rtl/>
              </w:rPr>
            </w:pP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A464D4" w:rsidRPr="00A464D4" w:rsidRDefault="00A464D4" w:rsidP="00BC7426">
      <w:pPr>
        <w:spacing w:line="360" w:lineRule="auto"/>
        <w:jc w:val="both"/>
        <w:rPr>
          <w:rFonts w:ascii="Arial" w:hAnsi="Arial"/>
          <w:noProof w:val="0"/>
          <w:rtl/>
        </w:rPr>
      </w:pPr>
      <w:r w:rsidRPr="00A464D4">
        <w:rPr>
          <w:rFonts w:ascii="Arial" w:hAnsi="Arial"/>
          <w:noProof w:val="0"/>
          <w:rtl/>
        </w:rPr>
        <w:t>בפניי בקש</w:t>
      </w:r>
      <w:r w:rsidR="00BC7426">
        <w:rPr>
          <w:rFonts w:ascii="Arial" w:hAnsi="Arial" w:hint="cs"/>
          <w:noProof w:val="0"/>
          <w:rtl/>
        </w:rPr>
        <w:t>ת</w:t>
      </w:r>
      <w:r w:rsidRPr="00A464D4">
        <w:rPr>
          <w:rFonts w:ascii="Arial" w:hAnsi="Arial"/>
          <w:noProof w:val="0"/>
          <w:rtl/>
        </w:rPr>
        <w:t xml:space="preserve"> </w:t>
      </w:r>
      <w:r w:rsidR="00A63212">
        <w:rPr>
          <w:rFonts w:ascii="Arial" w:hAnsi="Arial" w:hint="cs"/>
          <w:noProof w:val="0"/>
          <w:rtl/>
        </w:rPr>
        <w:t xml:space="preserve">האם </w:t>
      </w:r>
      <w:r w:rsidRPr="00A464D4">
        <w:rPr>
          <w:rFonts w:ascii="Arial" w:hAnsi="Arial"/>
          <w:noProof w:val="0"/>
          <w:rtl/>
        </w:rPr>
        <w:t>לסילוק על הסף של תביעה למ</w:t>
      </w:r>
      <w:r w:rsidR="00376851">
        <w:rPr>
          <w:rFonts w:ascii="Arial" w:hAnsi="Arial"/>
          <w:noProof w:val="0"/>
          <w:rtl/>
        </w:rPr>
        <w:t>זונות קטינים שהגיש האב  כנגד</w:t>
      </w:r>
      <w:r w:rsidR="00376851">
        <w:rPr>
          <w:rFonts w:ascii="Arial" w:hAnsi="Arial" w:hint="cs"/>
          <w:noProof w:val="0"/>
          <w:rtl/>
        </w:rPr>
        <w:t>ה</w:t>
      </w:r>
      <w:r w:rsidRPr="00A464D4">
        <w:rPr>
          <w:rFonts w:ascii="Arial" w:hAnsi="Arial"/>
          <w:noProof w:val="0"/>
          <w:rtl/>
        </w:rPr>
        <w:t>.</w:t>
      </w:r>
    </w:p>
    <w:p w:rsidR="00BC7426" w:rsidRDefault="00BC7426" w:rsidP="00A464D4">
      <w:pPr>
        <w:spacing w:line="360" w:lineRule="auto"/>
        <w:jc w:val="both"/>
        <w:rPr>
          <w:rFonts w:ascii="Arial" w:hAnsi="Arial"/>
          <w:noProof w:val="0"/>
          <w:rtl/>
        </w:rPr>
      </w:pPr>
    </w:p>
    <w:p w:rsidR="00841BD4" w:rsidRPr="00376851" w:rsidRDefault="00841BD4" w:rsidP="00F524DF">
      <w:pPr>
        <w:pStyle w:val="ae"/>
        <w:numPr>
          <w:ilvl w:val="0"/>
          <w:numId w:val="2"/>
        </w:numPr>
        <w:spacing w:line="360" w:lineRule="auto"/>
        <w:ind w:left="0"/>
        <w:jc w:val="both"/>
        <w:rPr>
          <w:rFonts w:ascii="Arial" w:hAnsi="Arial"/>
          <w:noProof w:val="0"/>
          <w:rtl/>
        </w:rPr>
      </w:pPr>
      <w:r w:rsidRPr="00376851">
        <w:rPr>
          <w:rFonts w:ascii="Arial" w:hAnsi="Arial" w:hint="cs"/>
          <w:noProof w:val="0"/>
          <w:rtl/>
        </w:rPr>
        <w:t>האם טענה בבקשתה בין היתר כדלקמן:</w:t>
      </w:r>
    </w:p>
    <w:p w:rsidR="00841BD4" w:rsidRPr="00376851" w:rsidRDefault="00A464D4" w:rsidP="00F524DF">
      <w:pPr>
        <w:pStyle w:val="ae"/>
        <w:numPr>
          <w:ilvl w:val="0"/>
          <w:numId w:val="1"/>
        </w:numPr>
        <w:spacing w:line="360" w:lineRule="auto"/>
        <w:jc w:val="both"/>
        <w:rPr>
          <w:rFonts w:ascii="Arial" w:hAnsi="Arial"/>
          <w:noProof w:val="0"/>
        </w:rPr>
      </w:pPr>
      <w:r w:rsidRPr="00376851">
        <w:rPr>
          <w:rFonts w:ascii="Arial" w:hAnsi="Arial"/>
          <w:noProof w:val="0"/>
          <w:rtl/>
        </w:rPr>
        <w:t xml:space="preserve"> </w:t>
      </w:r>
      <w:r w:rsidR="00F524DF">
        <w:rPr>
          <w:rFonts w:ascii="Arial" w:hAnsi="Arial" w:hint="cs"/>
          <w:noProof w:val="0"/>
          <w:rtl/>
        </w:rPr>
        <w:t xml:space="preserve">לאב </w:t>
      </w:r>
      <w:r w:rsidRPr="00376851">
        <w:rPr>
          <w:rFonts w:ascii="Arial" w:hAnsi="Arial"/>
          <w:noProof w:val="0"/>
          <w:rtl/>
        </w:rPr>
        <w:t xml:space="preserve">אין כל עילת תביעה </w:t>
      </w:r>
      <w:r w:rsidR="00F524DF">
        <w:rPr>
          <w:rFonts w:ascii="Arial" w:hAnsi="Arial" w:hint="cs"/>
          <w:noProof w:val="0"/>
          <w:rtl/>
        </w:rPr>
        <w:t xml:space="preserve">כנגדה </w:t>
      </w:r>
      <w:r w:rsidRPr="00376851">
        <w:rPr>
          <w:rFonts w:ascii="Arial" w:hAnsi="Arial"/>
          <w:noProof w:val="0"/>
          <w:rtl/>
        </w:rPr>
        <w:t xml:space="preserve">שכן על האב חלה החובה לשלם דמי מזונות עבור הקטינים "משמע מדובר בבעל החוב ועל כן הוא אינו יכול להיות תובע כי אם נתבע וזכות התביעה בעניין זה שמורה למבקשת" (ר' ס' 12 לבקשה). </w:t>
      </w:r>
    </w:p>
    <w:p w:rsidR="002914D6" w:rsidRDefault="00BC7426" w:rsidP="006E56C0">
      <w:pPr>
        <w:pStyle w:val="ae"/>
        <w:numPr>
          <w:ilvl w:val="0"/>
          <w:numId w:val="1"/>
        </w:numPr>
        <w:spacing w:line="360" w:lineRule="auto"/>
        <w:jc w:val="both"/>
        <w:rPr>
          <w:rFonts w:ascii="Arial" w:hAnsi="Arial"/>
          <w:noProof w:val="0"/>
        </w:rPr>
      </w:pPr>
      <w:r w:rsidRPr="00841BD4">
        <w:rPr>
          <w:rFonts w:ascii="Arial" w:hAnsi="Arial"/>
          <w:noProof w:val="0"/>
          <w:rtl/>
        </w:rPr>
        <w:t>האב עושה שימוש לרעה בהליכי משפט</w:t>
      </w:r>
      <w:r w:rsidR="0059384F">
        <w:rPr>
          <w:rFonts w:ascii="Arial" w:hAnsi="Arial" w:hint="cs"/>
          <w:noProof w:val="0"/>
          <w:rtl/>
        </w:rPr>
        <w:t xml:space="preserve"> </w:t>
      </w:r>
      <w:r w:rsidR="006E56C0">
        <w:rPr>
          <w:rFonts w:ascii="Arial" w:hAnsi="Arial" w:hint="cs"/>
          <w:noProof w:val="0"/>
          <w:rtl/>
        </w:rPr>
        <w:t xml:space="preserve">וזאת על מנת לפגוע בזכותה לבחור את הערכאה המוסמכת המתאימה מבחינתה </w:t>
      </w:r>
      <w:r w:rsidR="006E56C0" w:rsidRPr="00841BD4">
        <w:rPr>
          <w:rFonts w:ascii="Arial" w:hAnsi="Arial"/>
          <w:noProof w:val="0"/>
          <w:rtl/>
        </w:rPr>
        <w:t>להגשת כתב התביעה למזונות שהיא רשאית להגיש</w:t>
      </w:r>
      <w:r w:rsidR="006E56C0">
        <w:rPr>
          <w:rFonts w:ascii="Arial" w:hAnsi="Arial" w:hint="cs"/>
          <w:noProof w:val="0"/>
          <w:rtl/>
        </w:rPr>
        <w:t xml:space="preserve"> .</w:t>
      </w:r>
      <w:r w:rsidR="00C70B03">
        <w:rPr>
          <w:rFonts w:ascii="Arial" w:hAnsi="Arial" w:hint="cs"/>
          <w:noProof w:val="0"/>
          <w:rtl/>
        </w:rPr>
        <w:t xml:space="preserve"> </w:t>
      </w:r>
      <w:r w:rsidR="006E56C0">
        <w:rPr>
          <w:rFonts w:ascii="Arial" w:hAnsi="Arial" w:hint="cs"/>
          <w:noProof w:val="0"/>
          <w:rtl/>
        </w:rPr>
        <w:t xml:space="preserve">וכמו כן </w:t>
      </w:r>
      <w:r w:rsidR="0059384F">
        <w:rPr>
          <w:rFonts w:ascii="Arial" w:hAnsi="Arial" w:hint="cs"/>
          <w:noProof w:val="0"/>
          <w:rtl/>
        </w:rPr>
        <w:t>"</w:t>
      </w:r>
      <w:r w:rsidR="006E56C0">
        <w:rPr>
          <w:rFonts w:ascii="Arial" w:hAnsi="Arial" w:hint="cs"/>
          <w:noProof w:val="0"/>
          <w:rtl/>
        </w:rPr>
        <w:t xml:space="preserve">הוא </w:t>
      </w:r>
      <w:r w:rsidR="0059384F">
        <w:rPr>
          <w:rFonts w:ascii="Arial" w:hAnsi="Arial" w:hint="cs"/>
          <w:noProof w:val="0"/>
          <w:rtl/>
        </w:rPr>
        <w:t>מנסה לנצל זכות דיונית בחוסר תום לב משווע"</w:t>
      </w:r>
      <w:r w:rsidR="006E56C0">
        <w:rPr>
          <w:rFonts w:ascii="Arial" w:hAnsi="Arial" w:hint="cs"/>
          <w:noProof w:val="0"/>
          <w:rtl/>
        </w:rPr>
        <w:t xml:space="preserve"> כיוון ש</w:t>
      </w:r>
      <w:r w:rsidR="00A464D4" w:rsidRPr="00841BD4">
        <w:rPr>
          <w:rFonts w:ascii="Arial" w:hAnsi="Arial"/>
          <w:noProof w:val="0"/>
          <w:rtl/>
        </w:rPr>
        <w:t xml:space="preserve">הגיש את הבקשה לישוב סכסוך </w:t>
      </w:r>
      <w:r w:rsidR="0059384F">
        <w:rPr>
          <w:rFonts w:ascii="Arial" w:hAnsi="Arial" w:hint="cs"/>
          <w:noProof w:val="0"/>
          <w:rtl/>
        </w:rPr>
        <w:t>מתוך ידיעה ש</w:t>
      </w:r>
      <w:r w:rsidR="00841BD4">
        <w:rPr>
          <w:rFonts w:ascii="Arial" w:hAnsi="Arial" w:hint="cs"/>
          <w:noProof w:val="0"/>
          <w:rtl/>
        </w:rPr>
        <w:t>ב</w:t>
      </w:r>
      <w:r w:rsidRPr="00841BD4">
        <w:rPr>
          <w:rFonts w:ascii="Arial" w:hAnsi="Arial" w:hint="cs"/>
          <w:noProof w:val="0"/>
          <w:rtl/>
        </w:rPr>
        <w:t xml:space="preserve">כך </w:t>
      </w:r>
      <w:r w:rsidR="0059384F">
        <w:rPr>
          <w:rFonts w:ascii="Arial" w:hAnsi="Arial" w:hint="cs"/>
          <w:noProof w:val="0"/>
          <w:rtl/>
        </w:rPr>
        <w:t xml:space="preserve">הוא </w:t>
      </w:r>
      <w:r w:rsidRPr="00841BD4">
        <w:rPr>
          <w:rFonts w:ascii="Arial" w:hAnsi="Arial" w:hint="cs"/>
          <w:noProof w:val="0"/>
          <w:rtl/>
        </w:rPr>
        <w:t>מ</w:t>
      </w:r>
      <w:r w:rsidR="0059384F">
        <w:rPr>
          <w:rFonts w:ascii="Arial" w:hAnsi="Arial" w:hint="cs"/>
          <w:noProof w:val="0"/>
          <w:rtl/>
        </w:rPr>
        <w:t>ו</w:t>
      </w:r>
      <w:r w:rsidRPr="00841BD4">
        <w:rPr>
          <w:rFonts w:ascii="Arial" w:hAnsi="Arial" w:hint="cs"/>
          <w:noProof w:val="0"/>
          <w:rtl/>
        </w:rPr>
        <w:t>נע ממנה</w:t>
      </w:r>
      <w:r w:rsidR="00A464D4" w:rsidRPr="00841BD4">
        <w:rPr>
          <w:rFonts w:ascii="Arial" w:hAnsi="Arial"/>
          <w:noProof w:val="0"/>
          <w:rtl/>
        </w:rPr>
        <w:t xml:space="preserve"> להגיש תביעתה</w:t>
      </w:r>
      <w:r w:rsidR="0059384F">
        <w:rPr>
          <w:rFonts w:ascii="Arial" w:hAnsi="Arial" w:hint="cs"/>
          <w:noProof w:val="0"/>
          <w:rtl/>
        </w:rPr>
        <w:t xml:space="preserve"> בטרם חלפו המועדים הקבועים בס' 4 לחוק להסדר התדיינויות בסכסוכי משפחה</w:t>
      </w:r>
      <w:r w:rsidR="00841BD4">
        <w:rPr>
          <w:rFonts w:ascii="Arial" w:hAnsi="Arial" w:hint="cs"/>
          <w:noProof w:val="0"/>
          <w:rtl/>
        </w:rPr>
        <w:t xml:space="preserve">. </w:t>
      </w:r>
    </w:p>
    <w:p w:rsidR="006E56C0" w:rsidRDefault="006E56C0" w:rsidP="006E56C0">
      <w:pPr>
        <w:pStyle w:val="ae"/>
        <w:spacing w:line="360" w:lineRule="auto"/>
        <w:jc w:val="both"/>
        <w:rPr>
          <w:rFonts w:ascii="Arial" w:hAnsi="Arial"/>
          <w:noProof w:val="0"/>
          <w:rtl/>
        </w:rPr>
      </w:pPr>
    </w:p>
    <w:p w:rsidR="006E56C0" w:rsidRDefault="006E56C0" w:rsidP="00376851">
      <w:pPr>
        <w:pStyle w:val="ae"/>
        <w:spacing w:line="360" w:lineRule="auto"/>
        <w:jc w:val="both"/>
        <w:rPr>
          <w:rFonts w:ascii="Arial" w:hAnsi="Arial"/>
          <w:noProof w:val="0"/>
          <w:rtl/>
        </w:rPr>
      </w:pPr>
      <w:r>
        <w:rPr>
          <w:rFonts w:ascii="Arial" w:hAnsi="Arial" w:hint="cs"/>
          <w:noProof w:val="0"/>
          <w:rtl/>
        </w:rPr>
        <w:t xml:space="preserve">לחילופין, וככל שלא תתקבל בקשתה לסילוק התביעה על הסף, עותרת המבקשת </w:t>
      </w:r>
      <w:r w:rsidR="00376851">
        <w:rPr>
          <w:rFonts w:ascii="Arial" w:hAnsi="Arial" w:hint="cs"/>
          <w:noProof w:val="0"/>
          <w:rtl/>
        </w:rPr>
        <w:t>למתן א</w:t>
      </w:r>
      <w:r>
        <w:rPr>
          <w:rFonts w:ascii="Arial" w:hAnsi="Arial" w:hint="cs"/>
          <w:noProof w:val="0"/>
          <w:rtl/>
        </w:rPr>
        <w:t>רכה להגשת כתב הגנה כך שזה יוגש בתוך 30 יום ממועד מתן ההחלטה בבקשה דנן.</w:t>
      </w:r>
    </w:p>
    <w:p w:rsidR="00F524DF" w:rsidRDefault="00F524DF" w:rsidP="00376851">
      <w:pPr>
        <w:pStyle w:val="ae"/>
        <w:spacing w:line="360" w:lineRule="auto"/>
        <w:jc w:val="both"/>
        <w:rPr>
          <w:rFonts w:ascii="Arial" w:hAnsi="Arial"/>
          <w:noProof w:val="0"/>
          <w:rtl/>
        </w:rPr>
      </w:pPr>
    </w:p>
    <w:p w:rsidR="00F05B6E" w:rsidRDefault="00376851" w:rsidP="00F524DF">
      <w:pPr>
        <w:pStyle w:val="ae"/>
        <w:numPr>
          <w:ilvl w:val="0"/>
          <w:numId w:val="2"/>
        </w:numPr>
        <w:spacing w:line="360" w:lineRule="auto"/>
        <w:ind w:left="0"/>
        <w:jc w:val="both"/>
        <w:rPr>
          <w:rFonts w:ascii="Arial" w:hAnsi="Arial"/>
          <w:noProof w:val="0"/>
        </w:rPr>
      </w:pPr>
      <w:r w:rsidRPr="00F05B6E">
        <w:rPr>
          <w:rFonts w:ascii="Arial" w:hAnsi="Arial" w:hint="cs"/>
          <w:noProof w:val="0"/>
          <w:rtl/>
        </w:rPr>
        <w:t xml:space="preserve">בתגובתו טען האב בין היתר </w:t>
      </w:r>
      <w:r w:rsidR="00F05B6E">
        <w:rPr>
          <w:rFonts w:ascii="Arial" w:hAnsi="Arial" w:hint="cs"/>
          <w:noProof w:val="0"/>
          <w:rtl/>
        </w:rPr>
        <w:t>כדקלמן:</w:t>
      </w:r>
    </w:p>
    <w:p w:rsidR="00F05B6E" w:rsidRPr="00F05B6E" w:rsidRDefault="00376851" w:rsidP="00F524DF">
      <w:pPr>
        <w:pStyle w:val="ae"/>
        <w:numPr>
          <w:ilvl w:val="0"/>
          <w:numId w:val="3"/>
        </w:numPr>
        <w:spacing w:line="360" w:lineRule="auto"/>
        <w:jc w:val="both"/>
        <w:rPr>
          <w:rFonts w:ascii="Arial" w:hAnsi="Arial"/>
          <w:noProof w:val="0"/>
          <w:rtl/>
        </w:rPr>
      </w:pPr>
      <w:r w:rsidRPr="00F05B6E">
        <w:rPr>
          <w:rFonts w:ascii="Arial" w:hAnsi="Arial" w:hint="cs"/>
          <w:noProof w:val="0"/>
          <w:rtl/>
        </w:rPr>
        <w:t xml:space="preserve"> </w:t>
      </w:r>
      <w:r w:rsidR="00F524DF">
        <w:rPr>
          <w:rFonts w:ascii="Arial" w:hAnsi="Arial" w:hint="cs"/>
          <w:noProof w:val="0"/>
          <w:rtl/>
        </w:rPr>
        <w:t xml:space="preserve">האב מיצה את זכותו הדיונית שנקבעה בחוק </w:t>
      </w:r>
      <w:r w:rsidRPr="00F05B6E">
        <w:rPr>
          <w:rFonts w:ascii="Arial" w:hAnsi="Arial" w:hint="cs"/>
          <w:noProof w:val="0"/>
          <w:rtl/>
        </w:rPr>
        <w:t>להגיש תובענה למזונות קטינ</w:t>
      </w:r>
      <w:r w:rsidR="00F05B6E">
        <w:rPr>
          <w:rFonts w:ascii="Arial" w:hAnsi="Arial" w:hint="cs"/>
          <w:noProof w:val="0"/>
          <w:rtl/>
        </w:rPr>
        <w:t xml:space="preserve">ים שכן תביעה למזונות קטינים אינה מנת חלקן של אימהות בלבד; </w:t>
      </w:r>
      <w:r w:rsidR="00F05B6E" w:rsidRPr="00F05B6E">
        <w:rPr>
          <w:rFonts w:ascii="Arial" w:hAnsi="Arial" w:hint="cs"/>
          <w:noProof w:val="0"/>
          <w:rtl/>
        </w:rPr>
        <w:t xml:space="preserve">תביעתו </w:t>
      </w:r>
      <w:r w:rsidR="00F05B6E">
        <w:rPr>
          <w:rFonts w:ascii="Arial" w:hAnsi="Arial" w:hint="cs"/>
          <w:noProof w:val="0"/>
          <w:rtl/>
        </w:rPr>
        <w:t xml:space="preserve">מסתמכת </w:t>
      </w:r>
      <w:r w:rsidR="00F05B6E" w:rsidRPr="00F05B6E">
        <w:rPr>
          <w:rFonts w:ascii="Arial" w:hAnsi="Arial" w:hint="cs"/>
          <w:noProof w:val="0"/>
          <w:rtl/>
        </w:rPr>
        <w:t xml:space="preserve">על הלכת בע"מ 919/15 והאמור בה נכון, לגיטימי וצודק בנסיבות העניין. </w:t>
      </w:r>
    </w:p>
    <w:p w:rsidR="00F05B6E" w:rsidRDefault="00F05B6E" w:rsidP="00F05B6E">
      <w:pPr>
        <w:pStyle w:val="ae"/>
        <w:numPr>
          <w:ilvl w:val="0"/>
          <w:numId w:val="3"/>
        </w:numPr>
        <w:spacing w:line="360" w:lineRule="auto"/>
        <w:jc w:val="both"/>
        <w:rPr>
          <w:rFonts w:ascii="Arial" w:hAnsi="Arial"/>
          <w:noProof w:val="0"/>
        </w:rPr>
      </w:pPr>
      <w:r>
        <w:rPr>
          <w:rFonts w:ascii="Arial" w:hAnsi="Arial" w:hint="cs"/>
          <w:noProof w:val="0"/>
          <w:rtl/>
        </w:rPr>
        <w:t>כל עוד לא נקבע אחרת , האב אינו בעל חוב.</w:t>
      </w:r>
    </w:p>
    <w:p w:rsidR="002914D6" w:rsidRDefault="00C70B03" w:rsidP="00F524DF">
      <w:pPr>
        <w:pStyle w:val="ae"/>
        <w:numPr>
          <w:ilvl w:val="0"/>
          <w:numId w:val="3"/>
        </w:numPr>
        <w:spacing w:line="360" w:lineRule="auto"/>
        <w:jc w:val="both"/>
        <w:rPr>
          <w:rFonts w:ascii="Arial" w:hAnsi="Arial"/>
          <w:noProof w:val="0"/>
        </w:rPr>
      </w:pPr>
      <w:r>
        <w:rPr>
          <w:rFonts w:ascii="Arial" w:hAnsi="Arial" w:hint="cs"/>
          <w:noProof w:val="0"/>
          <w:rtl/>
        </w:rPr>
        <w:lastRenderedPageBreak/>
        <w:t xml:space="preserve">הגשת הליך בתום לב אינה </w:t>
      </w:r>
      <w:r w:rsidR="00F524DF">
        <w:rPr>
          <w:rFonts w:ascii="Arial" w:hAnsi="Arial" w:hint="cs"/>
          <w:noProof w:val="0"/>
          <w:rtl/>
        </w:rPr>
        <w:t>שימוש לרעה ב</w:t>
      </w:r>
      <w:r w:rsidRPr="00F524DF">
        <w:rPr>
          <w:rFonts w:ascii="Arial" w:hAnsi="Arial" w:hint="cs"/>
          <w:noProof w:val="0"/>
          <w:rtl/>
        </w:rPr>
        <w:t>הליכי משפט</w:t>
      </w:r>
      <w:r w:rsidR="00F524DF">
        <w:rPr>
          <w:rFonts w:ascii="Arial" w:hAnsi="Arial" w:hint="cs"/>
          <w:noProof w:val="0"/>
          <w:rtl/>
        </w:rPr>
        <w:t>, אלא זכות לגיטימית</w:t>
      </w:r>
      <w:r w:rsidRPr="00F524DF">
        <w:rPr>
          <w:rFonts w:ascii="Arial" w:hAnsi="Arial" w:hint="cs"/>
          <w:noProof w:val="0"/>
          <w:rtl/>
        </w:rPr>
        <w:t>. לעומת זאת האם היא אשר</w:t>
      </w:r>
      <w:r w:rsidR="00F05B6E" w:rsidRPr="00F524DF">
        <w:rPr>
          <w:rFonts w:ascii="Arial" w:hAnsi="Arial" w:hint="cs"/>
          <w:noProof w:val="0"/>
          <w:rtl/>
        </w:rPr>
        <w:t xml:space="preserve"> עושה שימוש לרעה בהליכי משפט, שכן בקשתה הינה בקשת סרק שאין לה כל בסיס עובדתי , משפטי או רציונלי.</w:t>
      </w:r>
      <w:r w:rsidRPr="00F524DF">
        <w:rPr>
          <w:rFonts w:ascii="Arial" w:hAnsi="Arial" w:hint="cs"/>
          <w:noProof w:val="0"/>
          <w:rtl/>
        </w:rPr>
        <w:t xml:space="preserve"> </w:t>
      </w:r>
    </w:p>
    <w:p w:rsidR="00F524DF" w:rsidRPr="00F524DF" w:rsidRDefault="00F524DF" w:rsidP="00F524DF">
      <w:pPr>
        <w:pStyle w:val="ae"/>
        <w:spacing w:line="360" w:lineRule="auto"/>
        <w:ind w:left="1080"/>
        <w:jc w:val="both"/>
        <w:rPr>
          <w:rFonts w:ascii="Arial" w:hAnsi="Arial"/>
          <w:noProof w:val="0"/>
          <w:rtl/>
        </w:rPr>
      </w:pPr>
    </w:p>
    <w:p w:rsidR="00C70B03" w:rsidRDefault="00C70B03" w:rsidP="00F524DF">
      <w:pPr>
        <w:pStyle w:val="ae"/>
        <w:numPr>
          <w:ilvl w:val="0"/>
          <w:numId w:val="2"/>
        </w:numPr>
        <w:spacing w:line="360" w:lineRule="auto"/>
        <w:ind w:left="0"/>
        <w:jc w:val="both"/>
        <w:rPr>
          <w:rFonts w:ascii="Arial" w:hAnsi="Arial"/>
          <w:noProof w:val="0"/>
        </w:rPr>
      </w:pPr>
      <w:r>
        <w:rPr>
          <w:rFonts w:ascii="Arial" w:hAnsi="Arial" w:hint="cs"/>
          <w:noProof w:val="0"/>
          <w:rtl/>
        </w:rPr>
        <w:t>לאחר שעיינתי בבקשה ובתגובה נחה דעתי כי דין בקשת האם לסילוק על הסף, להידחות.</w:t>
      </w:r>
      <w:r w:rsidR="00F524DF">
        <w:rPr>
          <w:rFonts w:ascii="Arial" w:hAnsi="Arial" w:hint="cs"/>
          <w:noProof w:val="0"/>
          <w:rtl/>
        </w:rPr>
        <w:t xml:space="preserve"> לא מצאתי לטענה זו כל בסיס </w:t>
      </w:r>
      <w:r w:rsidR="00F524DF" w:rsidRPr="00F524DF">
        <w:rPr>
          <w:rFonts w:ascii="Arial" w:hAnsi="Arial" w:hint="cs"/>
          <w:noProof w:val="0"/>
          <w:rtl/>
        </w:rPr>
        <w:t>משפטי</w:t>
      </w:r>
      <w:r w:rsidR="00F524DF">
        <w:rPr>
          <w:rFonts w:ascii="Arial" w:hAnsi="Arial" w:hint="cs"/>
          <w:noProof w:val="0"/>
          <w:rtl/>
        </w:rPr>
        <w:t>.</w:t>
      </w:r>
    </w:p>
    <w:p w:rsidR="00C70B03" w:rsidRDefault="00C70B03" w:rsidP="00C70B03">
      <w:pPr>
        <w:pStyle w:val="ae"/>
        <w:spacing w:line="360" w:lineRule="auto"/>
        <w:jc w:val="both"/>
        <w:rPr>
          <w:rFonts w:ascii="Arial" w:hAnsi="Arial"/>
          <w:noProof w:val="0"/>
          <w:rtl/>
        </w:rPr>
      </w:pPr>
    </w:p>
    <w:p w:rsidR="00C70B03" w:rsidRPr="00C70B03" w:rsidRDefault="00C70B03" w:rsidP="00F524DF">
      <w:pPr>
        <w:spacing w:line="360" w:lineRule="auto"/>
        <w:jc w:val="both"/>
        <w:rPr>
          <w:rFonts w:ascii="Arial" w:hAnsi="Arial"/>
          <w:noProof w:val="0"/>
        </w:rPr>
      </w:pPr>
      <w:r>
        <w:rPr>
          <w:rFonts w:ascii="Arial" w:hAnsi="Arial" w:hint="cs"/>
          <w:noProof w:val="0"/>
          <w:rtl/>
        </w:rPr>
        <w:t xml:space="preserve">צודק האב בטענתו כי הזכות להגשת תובענה למזונות קטינים אינה מנת חלקן של אימהות בלבד והינה </w:t>
      </w:r>
      <w:r w:rsidRPr="00C70B03">
        <w:rPr>
          <w:rFonts w:ascii="Arial" w:hAnsi="Arial" w:hint="cs"/>
          <w:b/>
          <w:bCs/>
          <w:noProof w:val="0"/>
          <w:rtl/>
        </w:rPr>
        <w:t>בבחינת מיצוי זכותו הדיונית שנקבעה בחוק</w:t>
      </w:r>
      <w:r>
        <w:rPr>
          <w:rFonts w:ascii="Arial" w:hAnsi="Arial" w:hint="cs"/>
          <w:noProof w:val="0"/>
          <w:rtl/>
        </w:rPr>
        <w:t xml:space="preserve">, ואין המדובר כלל בשימוש לרעה בהליכי משפט. כן צודק האב בטענתו כי </w:t>
      </w:r>
      <w:r w:rsidRPr="00C70B03">
        <w:rPr>
          <w:rFonts w:ascii="Arial" w:hAnsi="Arial" w:hint="cs"/>
          <w:noProof w:val="0"/>
          <w:rtl/>
        </w:rPr>
        <w:t>כל עוד לא נקבע אחרת , ה</w:t>
      </w:r>
      <w:r>
        <w:rPr>
          <w:rFonts w:ascii="Arial" w:hAnsi="Arial" w:hint="cs"/>
          <w:noProof w:val="0"/>
          <w:rtl/>
        </w:rPr>
        <w:t>וא</w:t>
      </w:r>
      <w:r w:rsidRPr="00C70B03">
        <w:rPr>
          <w:rFonts w:ascii="Arial" w:hAnsi="Arial" w:hint="cs"/>
          <w:noProof w:val="0"/>
          <w:rtl/>
        </w:rPr>
        <w:t xml:space="preserve"> אינו בעל חוב. </w:t>
      </w:r>
    </w:p>
    <w:p w:rsidR="00C70B03" w:rsidRPr="00C70B03" w:rsidRDefault="00C70B03" w:rsidP="00C70B03">
      <w:pPr>
        <w:pStyle w:val="ae"/>
        <w:spacing w:line="360" w:lineRule="auto"/>
        <w:jc w:val="both"/>
        <w:rPr>
          <w:rFonts w:ascii="Arial" w:hAnsi="Arial"/>
          <w:noProof w:val="0"/>
          <w:rtl/>
        </w:rPr>
      </w:pPr>
    </w:p>
    <w:p w:rsidR="00C70B03" w:rsidRDefault="00C70B03" w:rsidP="00C70B03">
      <w:pPr>
        <w:spacing w:line="360" w:lineRule="auto"/>
        <w:jc w:val="both"/>
        <w:rPr>
          <w:rFonts w:ascii="David" w:hAnsi="David"/>
          <w:color w:val="000000"/>
          <w:rtl/>
        </w:rPr>
      </w:pPr>
      <w:r>
        <w:rPr>
          <w:rFonts w:ascii="David" w:hAnsi="David" w:hint="cs"/>
          <w:color w:val="000000"/>
          <w:rtl/>
        </w:rPr>
        <w:t xml:space="preserve">הנה כי כן האב מימש את זכותו הבסיסית והיסודית לפנות לערכאות לקבלת סעד למימוש זכותו והינו זכאי לכך בכל תחום ותחום ללא יוצא מן הכלל. הפסיקה קבעה זה מכבר כי </w:t>
      </w:r>
      <w:r w:rsidRPr="00912F7F">
        <w:rPr>
          <w:rFonts w:ascii="David" w:hAnsi="David"/>
          <w:b/>
          <w:bCs/>
          <w:color w:val="000000"/>
          <w:rtl/>
        </w:rPr>
        <w:t>"</w:t>
      </w:r>
      <w:r w:rsidRPr="00C70B03">
        <w:rPr>
          <w:rFonts w:ascii="David" w:hAnsi="David"/>
          <w:b/>
          <w:bCs/>
          <w:color w:val="000000"/>
          <w:rtl/>
        </w:rPr>
        <w:t>זכות הגישה לערכאות שיפוטיות הינה זכות בסיסית ויסודית</w:t>
      </w:r>
      <w:r w:rsidRPr="00C70B03">
        <w:rPr>
          <w:rFonts w:ascii="David" w:hAnsi="David"/>
          <w:color w:val="000000"/>
          <w:rtl/>
        </w:rPr>
        <w:t>. חשיבותה הרבה של זכות זו נגזרת מן הצורך להבטיח, כי מי שסבור שזכאי הוא לסעד משפטי יוכל להביא את עניינו בפני ערכאות שיפוטיות, על מנת שאלו תכרענה בדבר. בהיעדר אפשרות לפנות לבית המשפט, לא יוכל אדם לזכות בסעד בגין פגיעה באיזו מזכויותיו המהותיות, וממילא לא תהא משמעות אפקטיבית לזכויות אלו</w:t>
      </w:r>
      <w:r w:rsidRPr="00912F7F">
        <w:rPr>
          <w:rFonts w:ascii="David" w:hAnsi="David"/>
          <w:b/>
          <w:bCs/>
          <w:color w:val="000000"/>
          <w:rtl/>
        </w:rPr>
        <w:t>"</w:t>
      </w:r>
      <w:r w:rsidRPr="00C70B03">
        <w:rPr>
          <w:rFonts w:ascii="David" w:hAnsi="David"/>
          <w:color w:val="000000"/>
          <w:rtl/>
        </w:rPr>
        <w:t xml:space="preserve"> (ע"א 1480/04 מליבו ישראל בע"מ נ' מדינת ישראל-משרד הבינוי והשיכון, פס' 16 לפסק דינו של השופט גרוניס ([פורסם בנבו], 21.5.2007) (להלן: פרשת מליבו); בקשה לדיון נוסף נדחתה: דנ"א 8045/06 מדינת ישראל - משרד הבינוי והשיכון נ' מליבו ישראל בע"מ ([פורסם בנבו], 21.5.2007)) </w:t>
      </w:r>
      <w:r w:rsidRPr="00C70B03">
        <w:rPr>
          <w:rFonts w:ascii="David" w:hAnsi="David"/>
          <w:b/>
          <w:bCs/>
          <w:color w:val="000000"/>
          <w:rtl/>
        </w:rPr>
        <w:t>זכות הגישה לערכאות היא אי נעילת דלת "בפני מי שמבקש סעד מרשות שיפוטית"</w:t>
      </w:r>
      <w:r w:rsidRPr="00C70B03">
        <w:rPr>
          <w:rFonts w:ascii="David" w:hAnsi="David"/>
          <w:color w:val="000000"/>
          <w:rtl/>
        </w:rPr>
        <w:t xml:space="preserve"> (ע"א 733/95 ארפל אלומיניום בע"מ נ' קליל תעשיות בע"מ, פ"ד נא(3) 577, 590 (1997) (השופט גולדברג)). ד"ר שלמה לוין הגדיר בספרו את זכות הגישה לערכאות </w:t>
      </w:r>
      <w:r w:rsidRPr="00C70B03">
        <w:rPr>
          <w:rFonts w:ascii="David" w:hAnsi="David"/>
          <w:b/>
          <w:bCs/>
          <w:color w:val="000000"/>
          <w:rtl/>
        </w:rPr>
        <w:t xml:space="preserve">כ"גישה ראויה ומלאה אל המערכת השיפוטית, כדי לאפשר [לאזרח] לממש מכלול זכויותיו בכל תחום ותחום – ללא יוצא מן הכלל" </w:t>
      </w:r>
      <w:r w:rsidRPr="00C70B03">
        <w:rPr>
          <w:rFonts w:ascii="David" w:hAnsi="David"/>
          <w:color w:val="000000"/>
          <w:rtl/>
        </w:rPr>
        <w:t>(שלמה לוין תורת הפרוצדורה האזרחית, מבוא ועקרונות יסוד 23 (1999) (להלן: לוין תורת הפרוצדורה))</w:t>
      </w:r>
      <w:r w:rsidRPr="00C70B03">
        <w:rPr>
          <w:rFonts w:ascii="David" w:hAnsi="David" w:hint="cs"/>
          <w:color w:val="000000"/>
          <w:rtl/>
        </w:rPr>
        <w:t>"</w:t>
      </w:r>
      <w:r>
        <w:rPr>
          <w:rFonts w:ascii="David" w:hAnsi="David" w:hint="cs"/>
          <w:color w:val="000000"/>
          <w:rtl/>
        </w:rPr>
        <w:t xml:space="preserve"> </w:t>
      </w:r>
      <w:r w:rsidRPr="00C70B03">
        <w:rPr>
          <w:rFonts w:ascii="David" w:hAnsi="David"/>
          <w:color w:val="0000FF"/>
          <w:shd w:val="clear" w:color="auto" w:fill="FFFFFF"/>
          <w:rtl/>
        </w:rPr>
        <w:t>בגץ </w:t>
      </w:r>
      <w:r w:rsidRPr="00C70B03">
        <w:rPr>
          <w:rFonts w:ascii="David" w:hAnsi="David"/>
          <w:color w:val="0000FF"/>
          <w:shd w:val="clear" w:color="auto" w:fill="FFFFFF"/>
        </w:rPr>
        <w:t xml:space="preserve">9198/02 </w:t>
      </w:r>
      <w:r w:rsidRPr="00C70B03">
        <w:rPr>
          <w:rFonts w:ascii="David" w:hAnsi="David"/>
          <w:color w:val="0000FF"/>
          <w:shd w:val="clear" w:color="auto" w:fill="FFFFFF"/>
          <w:rtl/>
        </w:rPr>
        <w:t xml:space="preserve">‏ </w:t>
      </w:r>
      <w:r w:rsidRPr="00C70B03">
        <w:rPr>
          <w:rFonts w:ascii="David" w:hAnsi="David"/>
          <w:b/>
          <w:bCs/>
          <w:color w:val="0000FF"/>
          <w:shd w:val="clear" w:color="auto" w:fill="FFFFFF"/>
          <w:rtl/>
        </w:rPr>
        <w:t>‏ההסתדרות הרפואית בישראל נ' היועץ המשפטי לממשלה, פ''ד סג(1) 352</w:t>
      </w:r>
      <w:r w:rsidRPr="00C70B03">
        <w:rPr>
          <w:rFonts w:ascii="David" w:hAnsi="David"/>
          <w:color w:val="0000FF"/>
          <w:rtl/>
        </w:rPr>
        <w:t xml:space="preserve"> </w:t>
      </w:r>
      <w:r w:rsidRPr="00C70B03">
        <w:rPr>
          <w:rFonts w:ascii="David" w:hAnsi="David" w:hint="cs"/>
          <w:rtl/>
        </w:rPr>
        <w:t>(2.10.2008)</w:t>
      </w:r>
      <w:r>
        <w:rPr>
          <w:rFonts w:ascii="David" w:hAnsi="David" w:hint="cs"/>
          <w:color w:val="0000FF"/>
          <w:rtl/>
        </w:rPr>
        <w:t xml:space="preserve"> </w:t>
      </w:r>
      <w:r>
        <w:rPr>
          <w:rFonts w:ascii="David" w:hAnsi="David" w:hint="cs"/>
          <w:color w:val="000000"/>
          <w:rtl/>
        </w:rPr>
        <w:t>(ההדגשה אינה במקור, א.כ).</w:t>
      </w:r>
    </w:p>
    <w:p w:rsidR="00C70B03" w:rsidRDefault="00C70B03" w:rsidP="00C70B03">
      <w:pPr>
        <w:spacing w:line="360" w:lineRule="auto"/>
        <w:jc w:val="both"/>
        <w:rPr>
          <w:rFonts w:ascii="David" w:hAnsi="David"/>
          <w:color w:val="000000"/>
          <w:rtl/>
        </w:rPr>
      </w:pPr>
    </w:p>
    <w:p w:rsidR="00C70B03" w:rsidRPr="00C70B03" w:rsidRDefault="00C70B03" w:rsidP="00F524DF">
      <w:pPr>
        <w:spacing w:line="360" w:lineRule="auto"/>
        <w:jc w:val="both"/>
        <w:rPr>
          <w:rFonts w:ascii="Arial" w:hAnsi="Arial"/>
          <w:noProof w:val="0"/>
          <w:rtl/>
        </w:rPr>
      </w:pPr>
      <w:r>
        <w:rPr>
          <w:rFonts w:ascii="Arial" w:hAnsi="Arial" w:hint="cs"/>
          <w:noProof w:val="0"/>
          <w:rtl/>
        </w:rPr>
        <w:t xml:space="preserve">אף דין טענת האם לפיה האב </w:t>
      </w:r>
      <w:r w:rsidRPr="00C70B03">
        <w:rPr>
          <w:rFonts w:ascii="Arial" w:hAnsi="Arial"/>
          <w:noProof w:val="0"/>
          <w:rtl/>
        </w:rPr>
        <w:t xml:space="preserve">הגיש את הבקשה לישוב סכסוך </w:t>
      </w:r>
      <w:r w:rsidRPr="00C70B03">
        <w:rPr>
          <w:rFonts w:ascii="Arial" w:hAnsi="Arial" w:hint="cs"/>
          <w:noProof w:val="0"/>
          <w:rtl/>
        </w:rPr>
        <w:t>מתוך ידיעה שבכך הוא מונע ממנה</w:t>
      </w:r>
      <w:r w:rsidRPr="00C70B03">
        <w:rPr>
          <w:rFonts w:ascii="Arial" w:hAnsi="Arial"/>
          <w:noProof w:val="0"/>
          <w:rtl/>
        </w:rPr>
        <w:t xml:space="preserve"> להגיש תביעתה</w:t>
      </w:r>
      <w:r w:rsidRPr="00C70B03">
        <w:rPr>
          <w:rFonts w:ascii="Arial" w:hAnsi="Arial" w:hint="cs"/>
          <w:noProof w:val="0"/>
          <w:rtl/>
        </w:rPr>
        <w:t xml:space="preserve"> בטרם חלפו המועדים הקבועים בס' 4 לחוק להסדר התדיינויות בסכסוכי משפחה</w:t>
      </w:r>
      <w:r>
        <w:rPr>
          <w:rFonts w:ascii="Arial" w:hAnsi="Arial" w:hint="cs"/>
          <w:noProof w:val="0"/>
          <w:rtl/>
        </w:rPr>
        <w:t xml:space="preserve">, דינה להידחות מטעם זה בדיוק. </w:t>
      </w:r>
      <w:r w:rsidRPr="00C70B03">
        <w:rPr>
          <w:rFonts w:ascii="Arial" w:hAnsi="Arial" w:hint="cs"/>
          <w:noProof w:val="0"/>
          <w:rtl/>
        </w:rPr>
        <w:t xml:space="preserve"> </w:t>
      </w:r>
    </w:p>
    <w:p w:rsidR="00C70B03" w:rsidRDefault="00C70B03" w:rsidP="00C70B03">
      <w:pPr>
        <w:spacing w:line="360" w:lineRule="auto"/>
        <w:jc w:val="both"/>
        <w:rPr>
          <w:rFonts w:ascii="Arial" w:hAnsi="Arial"/>
          <w:noProof w:val="0"/>
          <w:rtl/>
        </w:rPr>
      </w:pPr>
    </w:p>
    <w:p w:rsidR="00C70B03" w:rsidRDefault="00C70B03" w:rsidP="00912F7F">
      <w:pPr>
        <w:spacing w:line="360" w:lineRule="auto"/>
        <w:jc w:val="both"/>
        <w:rPr>
          <w:rFonts w:ascii="David" w:hAnsi="David"/>
          <w:color w:val="000000"/>
          <w:rtl/>
        </w:rPr>
      </w:pPr>
      <w:r>
        <w:rPr>
          <w:rFonts w:ascii="Arial" w:hAnsi="Arial" w:hint="cs"/>
          <w:noProof w:val="0"/>
          <w:rtl/>
        </w:rPr>
        <w:t>לעניין טענת האם לעיל לפיה "</w:t>
      </w:r>
      <w:r w:rsidRPr="00376851">
        <w:rPr>
          <w:rFonts w:ascii="Arial" w:hAnsi="Arial"/>
          <w:noProof w:val="0"/>
          <w:rtl/>
        </w:rPr>
        <w:t xml:space="preserve">מדובר בבעל החוב ועל כן הוא אינו יכול להיות תובע כי אם </w:t>
      </w:r>
      <w:r>
        <w:rPr>
          <w:rFonts w:ascii="Arial" w:hAnsi="Arial" w:hint="cs"/>
          <w:noProof w:val="0"/>
          <w:rtl/>
        </w:rPr>
        <w:t xml:space="preserve">נתבע" : אף </w:t>
      </w:r>
      <w:r w:rsidR="00F524DF">
        <w:rPr>
          <w:rFonts w:ascii="Arial" w:hAnsi="Arial" w:hint="cs"/>
          <w:noProof w:val="0"/>
          <w:rtl/>
        </w:rPr>
        <w:t xml:space="preserve">לטענה זו לא מצאתי לה כל בסיס </w:t>
      </w:r>
      <w:r w:rsidR="00F524DF" w:rsidRPr="00F524DF">
        <w:rPr>
          <w:rFonts w:ascii="Arial" w:hAnsi="Arial" w:hint="cs"/>
          <w:noProof w:val="0"/>
          <w:rtl/>
        </w:rPr>
        <w:t>משפטי</w:t>
      </w:r>
      <w:r w:rsidR="00F524DF">
        <w:rPr>
          <w:rFonts w:ascii="Arial" w:hAnsi="Arial" w:hint="cs"/>
          <w:noProof w:val="0"/>
          <w:rtl/>
        </w:rPr>
        <w:t xml:space="preserve"> ודינה </w:t>
      </w:r>
      <w:r>
        <w:rPr>
          <w:rFonts w:ascii="Arial" w:hAnsi="Arial" w:hint="cs"/>
          <w:noProof w:val="0"/>
          <w:rtl/>
        </w:rPr>
        <w:t>להידחות</w:t>
      </w:r>
      <w:r w:rsidR="00F524DF">
        <w:rPr>
          <w:rFonts w:ascii="Arial" w:hAnsi="Arial" w:hint="cs"/>
          <w:noProof w:val="0"/>
          <w:rtl/>
        </w:rPr>
        <w:t xml:space="preserve">. </w:t>
      </w:r>
      <w:r>
        <w:rPr>
          <w:rFonts w:ascii="Arial" w:hAnsi="Arial" w:hint="cs"/>
          <w:noProof w:val="0"/>
          <w:rtl/>
        </w:rPr>
        <w:t xml:space="preserve">כפי שטען בצדק האב, כל עוד לא נקבע אחרת, האב אינו בעל חוב. </w:t>
      </w:r>
      <w:r w:rsidRPr="00C70B03">
        <w:rPr>
          <w:rFonts w:ascii="David" w:hAnsi="David"/>
          <w:noProof w:val="0"/>
          <w:rtl/>
        </w:rPr>
        <w:t xml:space="preserve">ר' </w:t>
      </w:r>
      <w:r w:rsidRPr="00C70B03">
        <w:rPr>
          <w:rFonts w:ascii="David" w:hAnsi="David"/>
          <w:color w:val="0000FF"/>
          <w:rtl/>
        </w:rPr>
        <w:t>תמ"ש (משפחה נצרת) 1724-02-15 </w:t>
      </w:r>
      <w:r w:rsidRPr="00C70B03">
        <w:rPr>
          <w:rFonts w:ascii="David" w:hAnsi="David"/>
          <w:b/>
          <w:bCs/>
          <w:color w:val="0000FF"/>
          <w:rtl/>
        </w:rPr>
        <w:t>ע.ג נ' א.ג</w:t>
      </w:r>
      <w:r w:rsidRPr="00C70B03">
        <w:rPr>
          <w:rFonts w:ascii="David" w:hAnsi="David"/>
          <w:rtl/>
        </w:rPr>
        <w:t> ( 10.02.2016)‏</w:t>
      </w:r>
      <w:r w:rsidRPr="00C70B03">
        <w:rPr>
          <w:rFonts w:ascii="David" w:hAnsi="David"/>
          <w:color w:val="000000"/>
          <w:rtl/>
        </w:rPr>
        <w:t xml:space="preserve">‏ </w:t>
      </w:r>
      <w:r w:rsidR="00F524DF">
        <w:rPr>
          <w:rFonts w:ascii="David" w:hAnsi="David" w:hint="cs"/>
          <w:color w:val="000000"/>
          <w:rtl/>
        </w:rPr>
        <w:t xml:space="preserve">שם קבע כב' </w:t>
      </w:r>
      <w:r w:rsidR="00F524DF">
        <w:rPr>
          <w:rFonts w:ascii="David" w:hAnsi="David" w:hint="cs"/>
          <w:color w:val="000000"/>
          <w:rtl/>
        </w:rPr>
        <w:lastRenderedPageBreak/>
        <w:t xml:space="preserve">השופט אסף זגורי כי גם אמהות חייבות בסיפוק מזונות הקטינים: </w:t>
      </w:r>
      <w:r w:rsidRPr="00C70B03">
        <w:rPr>
          <w:rFonts w:ascii="David" w:hAnsi="David"/>
          <w:color w:val="000000"/>
          <w:rtl/>
        </w:rPr>
        <w:t xml:space="preserve">"בהקשר זה אוסיף, כי מרגע שמגיעים אנו לקביעה (נורמטיבית, משפטית ומוסרית), </w:t>
      </w:r>
      <w:r w:rsidRPr="00C70B03">
        <w:rPr>
          <w:rFonts w:ascii="David" w:hAnsi="David"/>
          <w:b/>
          <w:bCs/>
          <w:color w:val="000000"/>
          <w:rtl/>
        </w:rPr>
        <w:t>כי גם אמהות חייבות בסיפוק מזונות הילדים,</w:t>
      </w:r>
      <w:r w:rsidRPr="00C70B03">
        <w:rPr>
          <w:rFonts w:ascii="David" w:hAnsi="David"/>
          <w:color w:val="000000"/>
          <w:rtl/>
        </w:rPr>
        <w:t xml:space="preserve"> חובה עלינו לשקול גם שאלת מימוש פוטנציאל ההשתכרות. אמנם כן, </w:t>
      </w:r>
      <w:r w:rsidRPr="00C70B03">
        <w:rPr>
          <w:rFonts w:ascii="David" w:hAnsi="David"/>
          <w:b/>
          <w:bCs/>
          <w:color w:val="000000"/>
          <w:rtl/>
        </w:rPr>
        <w:t>לשון הפסיקה בהקשר זה נוקטת תמיד בלשון זכר ובהתייחס לאב החב במזונות (ע"א 239/85 עמיצור נ' עמיצור, פ"ד מ(1) 1, 147</w:t>
      </w:r>
      <w:r w:rsidRPr="00C70B03">
        <w:rPr>
          <w:rFonts w:ascii="David" w:hAnsi="David"/>
          <w:b/>
          <w:bCs/>
          <w:color w:val="000000"/>
        </w:rPr>
        <w:t xml:space="preserve"> (1986)</w:t>
      </w:r>
      <w:r w:rsidRPr="00C70B03">
        <w:rPr>
          <w:rFonts w:ascii="David" w:hAnsi="David"/>
          <w:b/>
          <w:bCs/>
          <w:color w:val="000000"/>
          <w:rtl/>
        </w:rPr>
        <w:t>), אך "רוח העידן" משתנה כאמור וכך גם רוח השיח.</w:t>
      </w:r>
      <w:r>
        <w:rPr>
          <w:rFonts w:ascii="David" w:hAnsi="David" w:hint="cs"/>
          <w:color w:val="000000"/>
          <w:rtl/>
        </w:rPr>
        <w:t>..".</w:t>
      </w:r>
    </w:p>
    <w:p w:rsidR="00F524DF" w:rsidRDefault="00F524DF" w:rsidP="00F524DF">
      <w:pPr>
        <w:spacing w:line="360" w:lineRule="auto"/>
        <w:jc w:val="both"/>
        <w:rPr>
          <w:rFonts w:ascii="David" w:hAnsi="David"/>
          <w:color w:val="000000"/>
          <w:rtl/>
        </w:rPr>
      </w:pPr>
    </w:p>
    <w:p w:rsidR="00F524DF" w:rsidRDefault="00F524DF" w:rsidP="00F524DF">
      <w:pPr>
        <w:spacing w:line="360" w:lineRule="auto"/>
        <w:jc w:val="both"/>
        <w:rPr>
          <w:rFonts w:ascii="David" w:hAnsi="David"/>
          <w:color w:val="000000"/>
          <w:rtl/>
        </w:rPr>
      </w:pPr>
      <w:r>
        <w:rPr>
          <w:rFonts w:ascii="David" w:hAnsi="David" w:hint="cs"/>
          <w:noProof w:val="0"/>
          <w:rtl/>
        </w:rPr>
        <w:t xml:space="preserve">כן </w:t>
      </w:r>
      <w:r w:rsidRPr="00C70B03">
        <w:rPr>
          <w:rFonts w:ascii="David" w:hAnsi="David"/>
          <w:noProof w:val="0"/>
          <w:rtl/>
        </w:rPr>
        <w:t xml:space="preserve">הלכת בע"מ 919/15 קבעה שוויון בנטל המזונות </w:t>
      </w:r>
      <w:r w:rsidRPr="00C70B03">
        <w:rPr>
          <w:rFonts w:ascii="David" w:hAnsi="David"/>
          <w:noProof w:val="0"/>
          <w:u w:val="single"/>
          <w:rtl/>
        </w:rPr>
        <w:t>ללא הבחנה מגדרי</w:t>
      </w:r>
      <w:r w:rsidRPr="00C70B03">
        <w:rPr>
          <w:rFonts w:ascii="David" w:hAnsi="David"/>
          <w:noProof w:val="0"/>
          <w:rtl/>
        </w:rPr>
        <w:t>ת.</w:t>
      </w:r>
    </w:p>
    <w:p w:rsidR="00C70B03" w:rsidRDefault="00C70B03" w:rsidP="00C70B03">
      <w:pPr>
        <w:spacing w:line="360" w:lineRule="auto"/>
        <w:jc w:val="both"/>
        <w:rPr>
          <w:rFonts w:ascii="Arial" w:hAnsi="Arial"/>
          <w:noProof w:val="0"/>
          <w:rtl/>
        </w:rPr>
      </w:pPr>
      <w:r>
        <w:rPr>
          <w:rFonts w:ascii="Arial" w:hAnsi="Arial" w:hint="cs"/>
          <w:noProof w:val="0"/>
          <w:rtl/>
        </w:rPr>
        <w:t xml:space="preserve">דהיינו, גם אימהות עשויות להיות 'בעלות חוב' , וטוב היה כי טענה זו לא הייתה מועלית כלל על ידי האם. </w:t>
      </w:r>
    </w:p>
    <w:p w:rsidR="00C70B03" w:rsidRDefault="00C70B03" w:rsidP="00912F7F">
      <w:pPr>
        <w:spacing w:before="240" w:line="360" w:lineRule="auto"/>
        <w:jc w:val="both"/>
        <w:rPr>
          <w:rFonts w:ascii="David" w:hAnsi="David"/>
          <w:rtl/>
        </w:rPr>
      </w:pPr>
      <w:r>
        <w:rPr>
          <w:rFonts w:ascii="Arial" w:hAnsi="Arial" w:hint="cs"/>
          <w:noProof w:val="0"/>
          <w:rtl/>
        </w:rPr>
        <w:t>לאור האמור, דין הבקשה לסילוק על הסף של תובענ</w:t>
      </w:r>
      <w:r w:rsidR="00912F7F">
        <w:rPr>
          <w:rFonts w:ascii="Arial" w:hAnsi="Arial" w:hint="cs"/>
          <w:noProof w:val="0"/>
          <w:rtl/>
        </w:rPr>
        <w:t>ת</w:t>
      </w:r>
      <w:r>
        <w:rPr>
          <w:rFonts w:ascii="Arial" w:hAnsi="Arial" w:hint="cs"/>
          <w:noProof w:val="0"/>
          <w:rtl/>
        </w:rPr>
        <w:t xml:space="preserve"> האב, להידחות. </w:t>
      </w:r>
      <w:r>
        <w:rPr>
          <w:rFonts w:ascii="David" w:hAnsi="David" w:hint="cs"/>
          <w:rtl/>
        </w:rPr>
        <w:t xml:space="preserve">לאור התוצאה אליה הגעתי, </w:t>
      </w:r>
      <w:r>
        <w:rPr>
          <w:rFonts w:ascii="David" w:hAnsi="David"/>
          <w:rtl/>
        </w:rPr>
        <w:t>הא</w:t>
      </w:r>
      <w:r>
        <w:rPr>
          <w:rFonts w:ascii="David" w:hAnsi="David" w:hint="cs"/>
          <w:rtl/>
        </w:rPr>
        <w:t>ם ת</w:t>
      </w:r>
      <w:r w:rsidR="00F524DF">
        <w:rPr>
          <w:rFonts w:ascii="David" w:hAnsi="David"/>
          <w:rtl/>
        </w:rPr>
        <w:t xml:space="preserve">ישא בשכ"ט ב"כ </w:t>
      </w:r>
      <w:r>
        <w:rPr>
          <w:rFonts w:ascii="David" w:hAnsi="David"/>
          <w:rtl/>
        </w:rPr>
        <w:t>הא</w:t>
      </w:r>
      <w:r>
        <w:rPr>
          <w:rFonts w:ascii="David" w:hAnsi="David" w:hint="cs"/>
          <w:rtl/>
        </w:rPr>
        <w:t>ב</w:t>
      </w:r>
      <w:r>
        <w:rPr>
          <w:rFonts w:ascii="David" w:hAnsi="David"/>
          <w:rtl/>
        </w:rPr>
        <w:t xml:space="preserve"> בסך </w:t>
      </w:r>
      <w:r w:rsidR="00F524DF">
        <w:rPr>
          <w:rFonts w:ascii="David" w:hAnsi="David" w:hint="cs"/>
          <w:rtl/>
        </w:rPr>
        <w:t xml:space="preserve">2,500 ₪ </w:t>
      </w:r>
      <w:r>
        <w:rPr>
          <w:rFonts w:ascii="David" w:hAnsi="David"/>
          <w:rtl/>
        </w:rPr>
        <w:t xml:space="preserve">. לא ישולם סכום זה בתוך 30 יום ישא רבית והפרשי הצמדה מהיום ועד התשלום המלא בפועל </w:t>
      </w:r>
    </w:p>
    <w:p w:rsidR="00C70B03" w:rsidRDefault="00C70B03" w:rsidP="00C70B03">
      <w:pPr>
        <w:spacing w:line="360" w:lineRule="auto"/>
        <w:jc w:val="both"/>
        <w:rPr>
          <w:rFonts w:ascii="Arial" w:hAnsi="Arial"/>
          <w:noProof w:val="0"/>
          <w:rtl/>
        </w:rPr>
      </w:pPr>
    </w:p>
    <w:p w:rsidR="00C70B03" w:rsidRPr="00C70B03" w:rsidRDefault="00C70B03" w:rsidP="00C70B03">
      <w:pPr>
        <w:spacing w:line="360" w:lineRule="auto"/>
        <w:jc w:val="both"/>
        <w:rPr>
          <w:rFonts w:ascii="Arial" w:hAnsi="Arial"/>
          <w:noProof w:val="0"/>
        </w:rPr>
      </w:pPr>
      <w:r>
        <w:rPr>
          <w:rFonts w:ascii="Arial" w:hAnsi="Arial" w:hint="cs"/>
          <w:noProof w:val="0"/>
          <w:rtl/>
        </w:rPr>
        <w:t xml:space="preserve">כתב הגנה </w:t>
      </w:r>
      <w:r>
        <w:rPr>
          <w:rFonts w:ascii="Calibri" w:hAnsi="Calibri"/>
          <w:rtl/>
        </w:rPr>
        <w:t>מטע</w:t>
      </w:r>
      <w:r>
        <w:rPr>
          <w:rFonts w:ascii="Calibri" w:hAnsi="Calibri" w:hint="cs"/>
          <w:rtl/>
        </w:rPr>
        <w:t>ם האם יוגש</w:t>
      </w:r>
      <w:r w:rsidRPr="00F86F24">
        <w:rPr>
          <w:rFonts w:ascii="Calibri" w:hAnsi="Calibri"/>
          <w:rtl/>
        </w:rPr>
        <w:t xml:space="preserve"> בתוך 30 יום.</w:t>
      </w:r>
    </w:p>
    <w:p w:rsidR="00F524DF" w:rsidRDefault="00F524DF">
      <w:pPr>
        <w:spacing w:line="360" w:lineRule="auto"/>
        <w:jc w:val="both"/>
        <w:rPr>
          <w:rFonts w:ascii="Arial" w:hAnsi="Arial"/>
          <w:b/>
          <w:bCs/>
          <w:noProof w:val="0"/>
          <w:u w:val="single"/>
          <w:rtl/>
        </w:rPr>
      </w:pPr>
    </w:p>
    <w:p w:rsidR="002914D6" w:rsidRDefault="00C70B03">
      <w:pPr>
        <w:spacing w:line="360" w:lineRule="auto"/>
        <w:jc w:val="both"/>
        <w:rPr>
          <w:rFonts w:ascii="Arial" w:hAnsi="Arial"/>
          <w:b/>
          <w:bCs/>
          <w:noProof w:val="0"/>
          <w:u w:val="single"/>
          <w:rtl/>
        </w:rPr>
      </w:pPr>
      <w:r w:rsidRPr="00C70B03">
        <w:rPr>
          <w:rFonts w:ascii="Arial" w:hAnsi="Arial" w:hint="cs"/>
          <w:b/>
          <w:bCs/>
          <w:noProof w:val="0"/>
          <w:u w:val="single"/>
          <w:rtl/>
        </w:rPr>
        <w:t xml:space="preserve">למעקב </w:t>
      </w:r>
      <w:r>
        <w:rPr>
          <w:rFonts w:ascii="Arial" w:hAnsi="Arial" w:hint="cs"/>
          <w:b/>
          <w:bCs/>
          <w:noProof w:val="0"/>
          <w:u w:val="single"/>
          <w:rtl/>
        </w:rPr>
        <w:t>המז</w:t>
      </w:r>
      <w:r w:rsidRPr="00C70B03">
        <w:rPr>
          <w:rFonts w:ascii="Arial" w:hAnsi="Arial" w:hint="cs"/>
          <w:b/>
          <w:bCs/>
          <w:noProof w:val="0"/>
          <w:u w:val="single"/>
          <w:rtl/>
        </w:rPr>
        <w:t>כירות</w:t>
      </w:r>
    </w:p>
    <w:p w:rsidR="00F524DF" w:rsidRPr="00C70B03" w:rsidRDefault="00F524DF">
      <w:pPr>
        <w:spacing w:line="360" w:lineRule="auto"/>
        <w:jc w:val="both"/>
        <w:rPr>
          <w:rFonts w:ascii="Arial" w:hAnsi="Arial"/>
          <w:b/>
          <w:bCs/>
          <w:noProof w:val="0"/>
          <w:u w:val="single"/>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כ"ג ניסן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01 מאי 2024</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E63B14">
      <w:pPr>
        <w:spacing w:line="360" w:lineRule="auto"/>
        <w:ind w:left="3600" w:firstLine="720"/>
        <w:jc w:val="both"/>
      </w:pPr>
      <w:sdt>
        <w:sdtPr>
          <w:rPr>
            <w:rtl/>
          </w:rPr>
          <w:alias w:val="MergeField"/>
          <w:tag w:val="1237"/>
          <w:id w:val="753478211"/>
        </w:sdtPr>
        <w:sdtEndPr/>
        <w:sdtContent>
          <w:r w:rsidR="004D5E75">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B14" w:rsidRDefault="00E63B14">
      <w:r>
        <w:separator/>
      </w:r>
    </w:p>
  </w:endnote>
  <w:endnote w:type="continuationSeparator" w:id="0">
    <w:p w:rsidR="00E63B14" w:rsidRDefault="00E6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CD" w:rsidRDefault="00B615C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615C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615CD">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CD" w:rsidRDefault="00B615C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B14" w:rsidRDefault="00E63B14">
      <w:r>
        <w:separator/>
      </w:r>
    </w:p>
  </w:footnote>
  <w:footnote w:type="continuationSeparator" w:id="0">
    <w:p w:rsidR="00E63B14" w:rsidRDefault="00E63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CD" w:rsidRDefault="00B615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01 מאי 2024</w:t>
              </w:r>
            </w:p>
          </w:tc>
        </w:sdtContent>
      </w:sdt>
    </w:tr>
    <w:tr w:rsidR="002914D6">
      <w:trPr>
        <w:trHeight w:val="337"/>
        <w:jc w:val="center"/>
      </w:trPr>
      <w:tc>
        <w:tcPr>
          <w:tcW w:w="8721" w:type="dxa"/>
          <w:gridSpan w:val="2"/>
        </w:tcPr>
        <w:p w:rsidR="002914D6" w:rsidRDefault="00E63B14" w:rsidP="00912F7F">
          <w:pPr>
            <w:rPr>
              <w:b/>
              <w:bCs/>
              <w:noProof w:val="0"/>
              <w:sz w:val="26"/>
              <w:szCs w:val="26"/>
              <w:rtl/>
            </w:rPr>
          </w:pPr>
          <w:sdt>
            <w:sdtPr>
              <w:rPr>
                <w:rtl/>
              </w:rPr>
              <w:alias w:val="1170"/>
              <w:tag w:val="1170"/>
              <w:id w:val="632838173"/>
              <w:text w:multiLine="1"/>
            </w:sdtPr>
            <w:sdtEndPr/>
            <w:sdtContent>
              <w:r w:rsidR="00B93B3D">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B93B3D">
                <w:rPr>
                  <w:b/>
                  <w:bCs/>
                  <w:noProof w:val="0"/>
                  <w:sz w:val="26"/>
                  <w:szCs w:val="26"/>
                  <w:rtl/>
                </w:rPr>
                <w:t>28880-03-24</w:t>
              </w:r>
            </w:sdtContent>
          </w:sdt>
          <w:bookmarkEnd w:id="0"/>
          <w:r w:rsidR="00011212">
            <w:rPr>
              <w:b/>
              <w:bCs/>
              <w:noProof w:val="0"/>
              <w:sz w:val="26"/>
              <w:szCs w:val="26"/>
              <w:rtl/>
            </w:rPr>
            <w:t xml:space="preserve"> </w:t>
          </w:r>
          <w:sdt>
            <w:sdtPr>
              <w:rPr>
                <w:rFonts w:ascii="David" w:hAnsi="David"/>
                <w:rtl/>
              </w:rPr>
              <w:alias w:val="1172"/>
              <w:tag w:val="1172"/>
              <w:id w:val="1484202908"/>
              <w:text w:multiLine="1"/>
            </w:sdtPr>
            <w:sdtEndPr/>
            <w:sdtContent>
              <w:r w:rsidR="00912F7F" w:rsidRPr="00B40DFD">
                <w:rPr>
                  <w:rFonts w:ascii="David" w:hAnsi="David"/>
                  <w:b/>
                  <w:bCs/>
                  <w:noProof w:val="0"/>
                  <w:sz w:val="26"/>
                  <w:szCs w:val="26"/>
                </w:rPr>
                <w:t>xxx</w:t>
              </w:r>
              <w:r w:rsidR="00912F7F" w:rsidRPr="00B40DFD">
                <w:rPr>
                  <w:rFonts w:ascii="David" w:hAnsi="David"/>
                  <w:b/>
                  <w:bCs/>
                  <w:noProof w:val="0"/>
                  <w:sz w:val="26"/>
                  <w:szCs w:val="26"/>
                  <w:rtl/>
                </w:rPr>
                <w:t xml:space="preserve"> </w:t>
              </w:r>
              <w:r w:rsidR="00B93B3D" w:rsidRPr="00B40DFD">
                <w:rPr>
                  <w:rFonts w:ascii="David" w:hAnsi="David"/>
                  <w:b/>
                  <w:bCs/>
                  <w:noProof w:val="0"/>
                  <w:sz w:val="26"/>
                  <w:szCs w:val="26"/>
                  <w:rtl/>
                </w:rPr>
                <w:t xml:space="preserve">נ' </w:t>
              </w:r>
              <w:r w:rsidR="00912F7F" w:rsidRPr="00B40DFD">
                <w:rPr>
                  <w:rFonts w:ascii="David" w:hAnsi="David"/>
                  <w:b/>
                  <w:bCs/>
                  <w:noProof w:val="0"/>
                  <w:sz w:val="26"/>
                  <w:szCs w:val="26"/>
                </w:rPr>
                <w:t>xxx</w:t>
              </w:r>
            </w:sdtContent>
          </w:sdt>
        </w:p>
        <w:p w:rsidR="002914D6" w:rsidRDefault="002914D6">
          <w:pPr>
            <w:rPr>
              <w:rtl/>
            </w:rPr>
          </w:pPr>
        </w:p>
        <w:p w:rsidR="00413181" w:rsidRDefault="00413181">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5CD" w:rsidRDefault="00B615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F0EC3"/>
    <w:multiLevelType w:val="hybridMultilevel"/>
    <w:tmpl w:val="A2982CE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4DAF6D7B"/>
    <w:multiLevelType w:val="hybridMultilevel"/>
    <w:tmpl w:val="2A4CEA36"/>
    <w:lvl w:ilvl="0" w:tplc="A314CF58">
      <w:start w:val="1"/>
      <w:numFmt w:val="hebrew1"/>
      <w:lvlText w:val="%1."/>
      <w:lvlJc w:val="left"/>
      <w:pPr>
        <w:ind w:left="785" w:hanging="360"/>
      </w:pPr>
      <w:rPr>
        <w:rFonts w:ascii="Arial" w:eastAsia="Times New Roman" w:hAnsi="Arial" w:cs="David"/>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56A37032"/>
    <w:multiLevelType w:val="hybridMultilevel"/>
    <w:tmpl w:val="BAEA1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E4927"/>
    <w:multiLevelType w:val="hybridMultilevel"/>
    <w:tmpl w:val="2A4CEA36"/>
    <w:lvl w:ilvl="0" w:tplc="A314CF58">
      <w:start w:val="1"/>
      <w:numFmt w:val="hebrew1"/>
      <w:lvlText w:val="%1."/>
      <w:lvlJc w:val="left"/>
      <w:pPr>
        <w:ind w:left="785" w:hanging="360"/>
      </w:pPr>
      <w:rPr>
        <w:rFonts w:ascii="Arial" w:eastAsia="Times New Roman" w:hAnsi="Arial" w:cs="David"/>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74163B11"/>
    <w:multiLevelType w:val="hybridMultilevel"/>
    <w:tmpl w:val="F1528288"/>
    <w:lvl w:ilvl="0" w:tplc="82E8786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F774D26"/>
    <w:multiLevelType w:val="hybridMultilevel"/>
    <w:tmpl w:val="F1528288"/>
    <w:lvl w:ilvl="0" w:tplc="82E8786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678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67844&amp;lt;/CaseID&amp;gt;_x000d__x000a_        &amp;lt;CaseMonth&amp;gt;3&amp;lt;/CaseMonth&amp;gt;_x000d__x000a_        &amp;lt;CaseYear&amp;gt;2024&amp;lt;/CaseYear&amp;gt;_x000d__x000a_        &amp;lt;CaseNumber&amp;gt;28880&amp;lt;/CaseNumber&amp;gt;_x000d__x000a_        &amp;lt;NumeratorGroupID&amp;gt;1&amp;lt;/NumeratorGroupID&amp;gt;_x000d__x000a_        &amp;lt;CaseName&amp;gt;דהן נ&amp;#39; דהן&amp;lt;/CaseName&amp;gt;_x000d__x000a_        &amp;lt;CourtID&amp;gt;30&amp;lt;/CourtID&amp;gt;_x000d__x000a_        &amp;lt;CaseTypeID&amp;gt;10262&amp;lt;/CaseTypeID&amp;gt;_x000d__x000a_        &amp;lt;CaseInterestID&amp;gt;10118&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880-03-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3-13T09:07: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67844&amp;lt;/CaseID&amp;gt;_x000d__x000a_        &amp;lt;CaseMonth&amp;gt;3&amp;lt;/CaseMonth&amp;gt;_x000d__x000a_        &amp;lt;CaseYear&amp;gt;2024&amp;lt;/CaseYear&amp;gt;_x000d__x000a_        &amp;lt;CaseNumber&amp;gt;28880&amp;lt;/CaseNumber&amp;gt;_x000d__x000a_        &amp;lt;NumeratorGroupID&amp;gt;1&amp;lt;/NumeratorGroupID&amp;gt;_x000d__x000a_        &amp;lt;CaseName&amp;gt;דהן נ&amp;#39; דהן&amp;lt;/CaseName&amp;gt;_x000d__x000a_        &amp;lt;CourtID&amp;gt;30&amp;lt;/CourtID&amp;gt;_x000d__x000a_        &amp;lt;CaseTypeID&amp;gt;10262&amp;lt;/CaseTypeID&amp;gt;_x000d__x000a_        &amp;lt;CaseInterestID&amp;gt;10118&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8880-03-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3-13T09:07: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368171&amp;lt;/DecisionID&amp;gt;_x000d__x000a_        &amp;lt;DecisionName&amp;gt;החלטה  שניתנה ע&amp;quot;י  איתי כץ&amp;lt;/DecisionName&amp;gt;_x000d__x000a_        &amp;lt;DecisionStatusID&amp;gt;1&amp;lt;/DecisionStatusID&amp;gt;_x000d__x000a_        &amp;lt;DecisionStatusChangeDate&amp;gt;2024-05-01T15:45:06.003+03:00&amp;lt;/DecisionStatusChangeDate&amp;gt;_x000d__x000a_        &amp;lt;DecisionSignatureDate&amp;gt;2024-05-01T15:45:04.933+03:00&amp;lt;/DecisionSignatureDate&amp;gt;_x000d__x000a_        &amp;lt;DecisionSignatureUserID&amp;gt;055473847@GOV.IL&amp;lt;/DecisionSignatureUserID&amp;gt;_x000d__x000a_        &amp;lt;DecisionCreateDate&amp;gt;2024-05-01T12:45:42.85+03:00&amp;lt;/DecisionCreateDate&amp;gt;_x000d__x000a_        &amp;lt;DecisionChangeDate&amp;gt;2024-05-01T15:45:06+03:00&amp;lt;/DecisionChangeDate&amp;gt;_x000d__x000a_        &amp;lt;DecisionChangeUserID&amp;gt;02481259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166089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738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812596@GOV.IL&amp;lt;/DecisionCreationUserID&amp;gt;_x000d__x000a_        &amp;lt;DecisionDisplayName&amp;gt;החלטה  שניתנה ע&amp;quot;י  איתי כץ&amp;lt;/DecisionDisplayName&amp;gt;_x000d__x000a_        &amp;lt;IsScanned&amp;gt;false&amp;lt;/IsScanned&amp;gt;_x000d__x000a_        &amp;lt;DecisionSignatureUserName&amp;gt;איתי כ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1368171&amp;lt;/DecisionID&amp;gt;_x000d__x000a_        &amp;lt;CaseID&amp;gt;81067844&amp;lt;/CaseID&amp;gt;_x000d__x000a_        &amp;lt;IsOriginal&amp;gt;true&amp;lt;/IsOriginal&amp;gt;_x000d__x000a_        &amp;lt;IsDeleted&amp;gt;false&amp;lt;/IsDeleted&amp;gt;_x000d__x000a_        &amp;lt;CaseName&amp;gt;דהן נ&amp;#39; דהן&amp;lt;/CaseName&amp;gt;_x000d__x000a_        &amp;lt;CaseDisplayIdentifier&amp;gt;28880-03-24 תלה&amp;quot;מ&amp;lt;/CaseDisplayIdentifier&amp;gt;_x000d__x000a_      &amp;lt;/dt_DecisionCase&amp;gt;_x000d__x000a_    &amp;lt;/DecisionDS&amp;gt;_x000d__x000a_  &amp;lt;/diffgr:diffgram&amp;gt;_x000d__x000a_&amp;lt;/DecisionDS&amp;gt;"/>
    <w:docVar w:name="DecisionID" w:val="151368171"/>
    <w:docVar w:name="WordClientAssemblyName" w:val="NGCS.Decision.ClientWordBL"/>
    <w:docVar w:name="WordClientClassName" w:val="NGCS.Decision.ClientWordBL.DecisionClient"/>
  </w:docVars>
  <w:rsids>
    <w:rsidRoot w:val="002914D6"/>
    <w:rsid w:val="00011212"/>
    <w:rsid w:val="0014058F"/>
    <w:rsid w:val="0019474B"/>
    <w:rsid w:val="001D5FAF"/>
    <w:rsid w:val="00273D47"/>
    <w:rsid w:val="002856D3"/>
    <w:rsid w:val="002914D6"/>
    <w:rsid w:val="002F5307"/>
    <w:rsid w:val="00376851"/>
    <w:rsid w:val="003A0652"/>
    <w:rsid w:val="00413181"/>
    <w:rsid w:val="004D5E75"/>
    <w:rsid w:val="004F4787"/>
    <w:rsid w:val="00530E94"/>
    <w:rsid w:val="0059384F"/>
    <w:rsid w:val="005B0A8B"/>
    <w:rsid w:val="005E66BB"/>
    <w:rsid w:val="006E56C0"/>
    <w:rsid w:val="00822AA5"/>
    <w:rsid w:val="00841BD4"/>
    <w:rsid w:val="00904FA7"/>
    <w:rsid w:val="00912F7F"/>
    <w:rsid w:val="00921E03"/>
    <w:rsid w:val="009A04C9"/>
    <w:rsid w:val="009D1711"/>
    <w:rsid w:val="00A464D4"/>
    <w:rsid w:val="00A63212"/>
    <w:rsid w:val="00A7661B"/>
    <w:rsid w:val="00B234CE"/>
    <w:rsid w:val="00B31305"/>
    <w:rsid w:val="00B40DFD"/>
    <w:rsid w:val="00B458C0"/>
    <w:rsid w:val="00B615CD"/>
    <w:rsid w:val="00B93B3D"/>
    <w:rsid w:val="00BC7426"/>
    <w:rsid w:val="00C70B03"/>
    <w:rsid w:val="00C809F6"/>
    <w:rsid w:val="00CE7F78"/>
    <w:rsid w:val="00D63CFE"/>
    <w:rsid w:val="00DA714E"/>
    <w:rsid w:val="00E63B14"/>
    <w:rsid w:val="00EC118E"/>
    <w:rsid w:val="00ED7305"/>
    <w:rsid w:val="00F05B6E"/>
    <w:rsid w:val="00F50E07"/>
    <w:rsid w:val="00F524DF"/>
    <w:rsid w:val="00F74E4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841BD4"/>
    <w:pPr>
      <w:ind w:left="720"/>
      <w:contextualSpacing/>
    </w:pPr>
  </w:style>
  <w:style w:type="character" w:styleId="Hyperlink">
    <w:name w:val="Hyperlink"/>
    <w:basedOn w:val="a0"/>
    <w:uiPriority w:val="99"/>
    <w:semiHidden/>
    <w:unhideWhenUsed/>
    <w:rsid w:val="00C70B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מרים סרגוסי</FullName>
        <FirstName>מרים</FirstName>
        <LastName>סרגוסי</LastName>
        <PartyPropertyName/>
        <AuthenticationTypeAndNumber>מ.ר. 47370</AuthenticationTypeAndNumber>
        <RepresentatedOrRepresentativesNames>שני דהן</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268777594</CasePartyID>
        <PartyTypeID>2</PartyTypeID>
        <ActivityStatusID>1</ActivityStatusID>
        <PartyAliasID>21</PartyAliasID>
        <PartyAliasName>בא כוח נתבעים</PartyAliasName>
        <LegalEntityID>15879330</LegalEntityID>
        <CaseLegalEntityID>128467754</CaseLegalEntityID>
        <AuthenticationTypeID>4</AuthenticationTypeID>
        <AuthenticationTypeName>מ.ר.</AuthenticationTypeName>
        <LegalEntityNumber>47370</LegalEntityNumber>
        <IsMainPartyType>true</IsMainPartyType>
        <CaseDisplayIdentifier>28880-03-24</CaseDisplayIdentifier>
        <CaseTypeID>10262</CaseTypeID>
        <CaseTypeName>תביעה לאחר הסדר התדיינויות במשפחה (תלה"מ)</CaseTypeName>
        <CaseName>דהן נ' דהן</CaseName>
        <FullAddress>דוד המלך 22 ירושלים </FullAddress>
        <EmailAddress>daishay3@gmail.com</EmailAddress>
        <MotionID>0</MotionID>
        <CasePleaID>0</CasePleaID>
        <LinkedCaseID>0</LinkedCaseID>
        <PartyID>2</PartyID>
        <CasePartyCategoryID>2</CasePartyCategoryID>
        <LegalEntityAddressID>84815107</LegalEntityAddressID>
        <LegalEntityEmailAddressID>68104451</LegalEntityEmailAddressID>
        <PleaTypeID>4</PleaTypeID>
        <LawyerOfficeName>משרד עו"ד: סרגוסי-ישי</LawyerOfficeName>
        <LawyerOfficeID>431028</LawyerOfficeID>
        <GroupPartyAlias/>
        <IsConverted>false</IsConverted>
        <LegalEntityNameID>17538627</LegalEntityNameID>
        <RepresentatedNamesOfAssistant/>
        <LegalEntityTypeID>4</LegalEntityTypeID>
        <IsVerdictExists>false</IsVerdictExists>
        <IsAsirAzir>false</IsAsirAzir>
        <IsPublicationProhibited>false</IsPublicationProhibited>
        <PublicationProhibitedFullName>מרים סרגוסי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שוקי דהן</FullName>
        <FirstName>יהושע שוקי</FirstName>
        <LastName>דהן</LastName>
        <PartyPropertyName/>
        <AuthenticationTypeAndNumber>ת"ז 036896116</AuthenticationTypeAndNumber>
        <RepresentatedOrRepresentativesNames>נילי שץ</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267614091</CasePartyID>
        <PartyTypeID>1</PartyTypeID>
        <ActivityStatusID>1</ActivityStatusID>
        <PartyAliasID>1</PartyAliasID>
        <PartyAliasName>תובע</PartyAliasName>
        <OrdinalNumber>1</OrdinalNumber>
        <LegalEntityID>13074019</LegalEntityID>
        <CaseLegalEntityID>128129487</CaseLegalEntityID>
        <AuthenticationTypeID>1</AuthenticationTypeID>
        <AuthenticationTypeName>ת"ז</AuthenticationTypeName>
        <LegalEntityNumber>036896116</LegalEntityNumber>
        <IsMainPartyType>true</IsMainPartyType>
        <CaseDisplayIdentifier>28880-03-24</CaseDisplayIdentifier>
        <CaseTypeID>10262</CaseTypeID>
        <CaseTypeName>תביעה לאחר הסדר התדיינויות במשפחה (תלה"מ)</CaseTypeName>
        <CaseName>דהן נ' דהן</CaseName>
        <FullAddress>הנחושת 18 מעלה אדומים </FullAddress>
        <MotionID>0</MotionID>
        <CasePleaID>0</CasePleaID>
        <FatherName>אברהם</FatherName>
        <LinkedCaseID>0</LinkedCaseID>
        <PartyID>1</PartyID>
        <CasePartyCategoryID>2</CasePartyCategoryID>
        <LegalEntityAddressID>89072501</LegalEntityAddressID>
        <PleaTypeID>4</PleaTypeID>
        <GroupPartyAlias>תובעים</GroupPartyAlias>
        <IsConverted>false</IsConverted>
        <LegalEntityRegisteredNameID>3795098</LegalEntityRegisteredNameID>
        <LegalEntityNameID>96287070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שוקי דהן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נילי שץ</FullName>
        <FirstName>נילי</FirstName>
        <LastName>שץ</LastName>
        <PartyPropertyName/>
        <AuthenticationTypeAndNumber>מ.ר. 29154</AuthenticationTypeAndNumber>
        <RepresentatedOrRepresentativesNames>שוקי דהן</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267614092</CasePartyID>
        <PartyTypeID>2</PartyTypeID>
        <ActivityStatusID>1</ActivityStatusID>
        <PartyAliasID>20</PartyAliasID>
        <PartyAliasName>בא כוח תובעים</PartyAliasName>
        <OrdinalNumber>1</OrdinalNumber>
        <LegalEntityID>389015</LegalEntityID>
        <CaseLegalEntityID>128129488</CaseLegalEntityID>
        <AuthenticationTypeID>4</AuthenticationTypeID>
        <AuthenticationTypeName>מ.ר.</AuthenticationTypeName>
        <LegalEntityNumber>29154</LegalEntityNumber>
        <IsMainPartyType>true</IsMainPartyType>
        <CaseDisplayIdentifier>28880-03-24</CaseDisplayIdentifier>
        <CaseTypeID>10262</CaseTypeID>
        <CaseTypeName>תביעה לאחר הסדר התדיינויות במשפחה (תלה"מ)</CaseTypeName>
        <CaseName>דהן נ' דהן</CaseName>
        <FullAddress>עמק החולה22/2 מודיעין-מכבים-רעות* </FullAddress>
        <EmailAddress>nilylaw@netvision.net.il</EmailAddress>
        <MotionID>0</MotionID>
        <CasePleaID>0</CasePleaID>
        <LinkedCaseID>0</LinkedCaseID>
        <PartyID>1</PartyID>
        <CasePartyCategoryID>2</CasePartyCategoryID>
        <LegalEntityAddressID>85482058</LegalEntityAddressID>
        <LegalEntityEmailAddressID>68049947</LegalEntityEmailAddressID>
        <PleaTypeID>4</PleaTypeID>
        <LawyerOfficeName>משרד עו"ד: נילי שץ</LawyerOfficeName>
        <LawyerOfficeID>429659</LawyerOfficeID>
        <GroupPartyAlias/>
        <IsConverted>false</IsConverted>
        <LegalEntityNameID>9999</LegalEntityNameID>
        <RepresentatedNamesOfAssistant/>
        <LegalEntityTypeID>4</LegalEntityTypeID>
        <IsVerdictExists>false</IsVerdictExists>
        <IsAsirAzir>false</IsAsirAzir>
        <IsPublicationProhibited>false</IsPublicationProhibited>
        <PublicationProhibitedFullName>נילי שץ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שני דהן</FullName>
        <FirstName>שני</FirstName>
        <LastName>דהן</LastName>
        <PartyPropertyName/>
        <AuthenticationTypeAndNumber>ת"ז 300371945</AuthenticationTypeAndNumber>
        <RepresentatedOrRepresentativesNames>מרים סרגוסי</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267614093</CasePartyID>
        <PartyTypeID>1</PartyTypeID>
        <ActivityStatusID>1</ActivityStatusID>
        <PartyAliasID>2</PartyAliasID>
        <PartyAliasName>נתבע</PartyAliasName>
        <OrdinalNumber>1</OrdinalNumber>
        <LegalEntityID>76199575</LegalEntityID>
        <CaseLegalEntityID>128129489</CaseLegalEntityID>
        <AuthenticationTypeID>1</AuthenticationTypeID>
        <AuthenticationTypeName>ת"ז</AuthenticationTypeName>
        <LegalEntityNumber>300371945</LegalEntityNumber>
        <IsMainPartyType>true</IsMainPartyType>
        <CaseDisplayIdentifier>28880-03-24</CaseDisplayIdentifier>
        <CaseTypeID>10262</CaseTypeID>
        <CaseTypeName>תביעה לאחר הסדר התדיינויות במשפחה (תלה"מ)</CaseTypeName>
        <CaseName>דהן נ' דהן</CaseName>
        <FullAddress>הקירטון 5 מעלה אדומים </FullAddress>
        <EmailAddress>shanisr1@hotmail.com</EmailAddress>
        <MotionID>0</MotionID>
        <CasePleaID>0</CasePleaID>
        <FatherName>דוד</FatherName>
        <LinkedCaseID>0</LinkedCaseID>
        <PartyID>2</PartyID>
        <CasePartyCategoryID>2</CasePartyCategoryID>
        <LegalEntityAddressID>89072502</LegalEntityAddressID>
        <LegalEntityEmailAddressID>68364509</LegalEntityEmailAddressID>
        <PleaTypeID>4</PleaTypeID>
        <GroupPartyAlias>נתבעים</GroupPartyAlias>
        <IsConverted>false</IsConverted>
        <LegalEntityRegisteredNameID>6204327</LegalEntityRegisteredNameID>
        <LegalEntityNameID>96287071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דהן</PublicationProhibitedFullName>
      </CaseParties>
    </CasePartiesSelectionDS>
    <DecisionName>החלטה  שניתנה ע"י  איתי כץ</DecisionName>
    <CourtDisplayName>בית משפט לענייני משפחה בירושלים</CourtDisplayName>
    <IsCaseJudgePanel>false</IsCaseJudgePanel>
    <DecisionSignatureDate>2024-05-01T12:45:07.1430393+03:00</DecisionSignatureDate>
    <OpenCaseDate>2024-03-13T09:07:00+02:00</OpenCaseDate>
    <CaseFeeSum>0.000</CaseFeeSum>
    <DecisionTypeID>1</DecisionTypeID>
    <DecisionSignatureUserName>איתי כץ</DecisionSignatureUserName>
    <DecisionSignatureDateHebrew>2024-05-01T12:45:07.1430393+03:00</DecisionSignatureDateHebrew>
    <DecisionWriterID>055473847@GOV.IL</DecisionWriterID>
    <CourtAddress>רח' חשין 6, ירושלים 9515601</CourtAddress>
    <IsAutoTextInCaseExist>false</IsAutoTextInCaseExist>
    <DecisionSignatureRoleName>שופט</DecisionSignatureRoleName>
    <DecisionSignatureUserTitleName>שופט בכיר</DecisionSignatureUserTitleName>
    <CaseName>דהן נ' דהן</CaseName>
    <DecisionNumberInCase>4</DecisionNumberInCase>
  </dt_Decision>
  <dt_DecisionCase>
    <DecisionID>0</DecisionID>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מרים סרגוסי</FullName>
        <FirstName>מרים</FirstName>
        <LastName>סרגוסי</LastName>
        <PartyPropertyName/>
        <AuthenticationTypeAndNumber>מ.ר. 47370</AuthenticationTypeAndNumber>
        <RepresentatedOrRepresentativesNames>שני דהן</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268777594</CasePartyID>
        <PartyTypeID>2</PartyTypeID>
        <ActivityStatusID>1</ActivityStatusID>
        <PartyAliasID>21</PartyAliasID>
        <PartyAliasName>בא כוח נתבעים</PartyAliasName>
        <LegalEntityID>15879330</LegalEntityID>
        <CaseLegalEntityID>128467754</CaseLegalEntityID>
        <AuthenticationTypeID>4</AuthenticationTypeID>
        <AuthenticationTypeName>מ.ר.</AuthenticationTypeName>
        <LegalEntityNumber>47370</LegalEntityNumber>
        <IsMainPartyType>true</IsMainPartyType>
        <CaseDisplayIdentifier>28880-03-24</CaseDisplayIdentifier>
        <CaseTypeID>10262</CaseTypeID>
        <CaseTypeName>תביעה לאחר הסדר התדיינויות במשפחה (תלה"מ)</CaseTypeName>
        <CaseName>דהן נ' דהן</CaseName>
        <FullAddress>דוד המלך 22 ירושלים </FullAddress>
        <EmailAddress>daishay3@gmail.com</EmailAddress>
        <MotionID>0</MotionID>
        <CasePleaID>0</CasePleaID>
        <LinkedCaseID>0</LinkedCaseID>
        <PartyID>2</PartyID>
        <CasePartyCategoryID>2</CasePartyCategoryID>
        <LegalEntityAddressID>84815107</LegalEntityAddressID>
        <LegalEntityEmailAddressID>68104451</LegalEntityEmailAddressID>
        <PleaTypeID>4</PleaTypeID>
        <LawyerOfficeName>משרד עו"ד: סרגוסי-ישי</LawyerOfficeName>
        <LawyerOfficeID>431028</LawyerOfficeID>
        <GroupPartyAlias/>
        <IsConverted>false</IsConverted>
        <LegalEntityNameID>17538627</LegalEntityNameID>
        <RepresentatedNamesOfAssistant/>
        <LegalEntityTypeID>4</LegalEntityTypeID>
        <IsVerdictExists>false</IsVerdictExists>
        <IsAsirAzir>false</IsAsirAzir>
        <IsPublicationProhibited>false</IsPublicationProhibited>
        <PublicationProhibitedFullName>מרים סרגוסי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שוקי דהן</FullName>
        <FirstName>יהושע שוקי</FirstName>
        <LastName>דהן</LastName>
        <PartyPropertyName/>
        <AuthenticationTypeAndNumber>ת"ז 036896116</AuthenticationTypeAndNumber>
        <RepresentatedOrRepresentativesNames>נילי שץ</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267614091</CasePartyID>
        <PartyTypeID>1</PartyTypeID>
        <ActivityStatusID>1</ActivityStatusID>
        <PartyAliasID>1</PartyAliasID>
        <PartyAliasName>תובע</PartyAliasName>
        <OrdinalNumber>1</OrdinalNumber>
        <LegalEntityID>13074019</LegalEntityID>
        <CaseLegalEntityID>128129487</CaseLegalEntityID>
        <AuthenticationTypeID>1</AuthenticationTypeID>
        <AuthenticationTypeName>ת"ז</AuthenticationTypeName>
        <LegalEntityNumber>036896116</LegalEntityNumber>
        <IsMainPartyType>true</IsMainPartyType>
        <CaseDisplayIdentifier>28880-03-24</CaseDisplayIdentifier>
        <CaseTypeID>10262</CaseTypeID>
        <CaseTypeName>תביעה לאחר הסדר התדיינויות במשפחה (תלה"מ)</CaseTypeName>
        <CaseName>דהן נ' דהן</CaseName>
        <FullAddress>הנחושת 18 מעלה אדומים </FullAddress>
        <MotionID>0</MotionID>
        <CasePleaID>0</CasePleaID>
        <FatherName>אברהם</FatherName>
        <LinkedCaseID>0</LinkedCaseID>
        <PartyID>1</PartyID>
        <CasePartyCategoryID>2</CasePartyCategoryID>
        <LegalEntityAddressID>89072501</LegalEntityAddressID>
        <PleaTypeID>4</PleaTypeID>
        <GroupPartyAlias>תובעים</GroupPartyAlias>
        <IsConverted>false</IsConverted>
        <LegalEntityRegisteredNameID>3795098</LegalEntityRegisteredNameID>
        <LegalEntityNameID>96287070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שוקי דהן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נילי שץ</FullName>
        <FirstName>נילי</FirstName>
        <LastName>שץ</LastName>
        <PartyPropertyName/>
        <AuthenticationTypeAndNumber>מ.ר. 29154</AuthenticationTypeAndNumber>
        <RepresentatedOrRepresentativesNames>שוקי דהן</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267614092</CasePartyID>
        <PartyTypeID>2</PartyTypeID>
        <ActivityStatusID>1</ActivityStatusID>
        <PartyAliasID>20</PartyAliasID>
        <PartyAliasName>בא כוח תובעים</PartyAliasName>
        <OrdinalNumber>1</OrdinalNumber>
        <LegalEntityID>389015</LegalEntityID>
        <CaseLegalEntityID>128129488</CaseLegalEntityID>
        <AuthenticationTypeID>4</AuthenticationTypeID>
        <AuthenticationTypeName>מ.ר.</AuthenticationTypeName>
        <LegalEntityNumber>29154</LegalEntityNumber>
        <IsMainPartyType>true</IsMainPartyType>
        <CaseDisplayIdentifier>28880-03-24</CaseDisplayIdentifier>
        <CaseTypeID>10262</CaseTypeID>
        <CaseTypeName>תביעה לאחר הסדר התדיינויות במשפחה (תלה"מ)</CaseTypeName>
        <CaseName>דהן נ' דהן</CaseName>
        <FullAddress>עמק החולה22/2 מודיעין-מכבים-רעות* </FullAddress>
        <EmailAddress>nilylaw@netvision.net.il</EmailAddress>
        <MotionID>0</MotionID>
        <CasePleaID>0</CasePleaID>
        <LinkedCaseID>0</LinkedCaseID>
        <PartyID>1</PartyID>
        <CasePartyCategoryID>2</CasePartyCategoryID>
        <LegalEntityAddressID>85482058</LegalEntityAddressID>
        <LegalEntityEmailAddressID>68049947</LegalEntityEmailAddressID>
        <PleaTypeID>4</PleaTypeID>
        <LawyerOfficeName>משרד עו"ד: נילי שץ</LawyerOfficeName>
        <LawyerOfficeID>429659</LawyerOfficeID>
        <GroupPartyAlias/>
        <IsConverted>false</IsConverted>
        <LegalEntityNameID>9999</LegalEntityNameID>
        <RepresentatedNamesOfAssistant/>
        <LegalEntityTypeID>4</LegalEntityTypeID>
        <IsVerdictExists>false</IsVerdictExists>
        <IsAsirAzir>false</IsAsirAzir>
        <IsPublicationProhibited>false</IsPublicationProhibited>
        <PublicationProhibitedFullName>נילי שץ</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שני דהן</FullName>
        <FirstName>שני</FirstName>
        <LastName>דהן</LastName>
        <PartyPropertyName/>
        <AuthenticationTypeAndNumber>ת"ז 300371945</AuthenticationTypeAndNumber>
        <RepresentatedOrRepresentativesNames>מרים סרגוסי</RepresentatedOrRepresentativesNames>
        <RepresentatedOrRepresentativesCount>1</RepresentatedOrRepresentativesCount>
        <InvitedBy/>
        <CaseID>81067844</CaseID>
        <CaseJudicialPersonPresentationDS>
          <CaseJudicalPersonActive>
            <CaseID>81067844</CaseID>
            <JudicialPersonID>055473847@GOV.IL</JudicialPersonID>
            <JudicialPersonTypeID>1</JudicialPersonTypeID>
            <JudicialTypeID>1</JudicialTypeID>
            <IsChairman>false</IsChairman>
            <TreatmentStartDate>2024-03-13T15:32:09.163+02:00</TreatmentStartDate>
            <TreatmentFinishDate>9999-12-31T23:59:59.997+02:00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267614093</CasePartyID>
        <PartyTypeID>1</PartyTypeID>
        <ActivityStatusID>1</ActivityStatusID>
        <PartyAliasID>2</PartyAliasID>
        <PartyAliasName>נתבע</PartyAliasName>
        <OrdinalNumber>1</OrdinalNumber>
        <LegalEntityID>76199575</LegalEntityID>
        <CaseLegalEntityID>128129489</CaseLegalEntityID>
        <AuthenticationTypeID>1</AuthenticationTypeID>
        <AuthenticationTypeName>ת"ז</AuthenticationTypeName>
        <LegalEntityNumber>300371945</LegalEntityNumber>
        <IsMainPartyType>true</IsMainPartyType>
        <CaseDisplayIdentifier>28880-03-24</CaseDisplayIdentifier>
        <CaseTypeID>10262</CaseTypeID>
        <CaseTypeName>תביעה לאחר הסדר התדיינויות במשפחה (תלה"מ)</CaseTypeName>
        <CaseName>דהן נ' דהן</CaseName>
        <FullAddress>הקירטון 5 מעלה אדומים </FullAddress>
        <EmailAddress>shanisr1@hotmail.com</EmailAddress>
        <MotionID>0</MotionID>
        <CasePleaID>0</CasePleaID>
        <FatherName>דוד</FatherName>
        <LinkedCaseID>0</LinkedCaseID>
        <PartyID>2</PartyID>
        <CasePartyCategoryID>2</CasePartyCategoryID>
        <LegalEntityAddressID>89072502</LegalEntityAddressID>
        <LegalEntityEmailAddressID>68364509</LegalEntityEmailAddressID>
        <PleaTypeID>4</PleaTypeID>
        <GroupPartyAlias>נתבעים</GroupPartyAlias>
        <IsConverted>false</IsConverted>
        <LegalEntityRegisteredNameID>6204327</LegalEntityRegisteredNameID>
        <LegalEntityNameID>96287071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דהן</PublicationProhibitedFullName>
      </CaseParties>
    </CasePartiesSelectionDS>
    <CaseName>דהן נ' דהן</CaseName>
    <CaseDisplayIdentifier>28880-03-24</CaseDisplayIdentifier>
    <CaseInterestID>10118</CaseInterestID>
    <CaseTypeShortName>תלה"מ</CaseTypeShortName>
  </dt_DecisionCase>
  <dt_DecisionJudgePanel>
    <JudgeID>055473847@GOV.IL</JudgeID>
    <DisplayName>איתי כץ</DisplayName>
    <RoleName>שופט</RoleName>
    <UserTitleName>שופט בכיר</UserTitleName>
  </dt_DecisionJudgePanel>
  <dt_LegalEntityDetails>
    <Fax>073-3943312</Fax>
    <Phone>073-3943313</Phone>
    <PartyID>2</PartyID>
    <PartyTypeID>2</PartyTypeID>
    <DecisionID>0</DecisionID>
    <StreetName>דוד המלך 22</StreetName>
    <ZipCode>9410146</ZipCode>
    <CityName>ירושלים</CityName>
    <FullName>מרים סרגוסי</FullName>
    <Email>daishay3@gmail.com</Email>
    <IsPublicationProhibited>false</IsPublicationProhibited>
  </dt_LegalEntityDetails>
  <dt_LegalEntityDetails>
    <PartyID>1</PartyID>
    <PartyTypeID>1</PartyTypeID>
    <DecisionID>0</DecisionID>
    <StreetName>הנחושת 18</StreetName>
    <CityName>מעלה אדומים</CityName>
    <FullName>שוקי דהן</FullName>
    <Email>Shooki1002@gmail.com</Email>
    <IsPublicationProhibited>false</IsPublicationProhibited>
  </dt_LegalEntityDetails>
  <dt_LegalEntityDetails>
    <Fax>08-9942954</Fax>
    <PartyID>1</PartyID>
    <PartyTypeID>2</PartyTypeID>
    <DecisionID>0</DecisionID>
    <StreetName>עמק החולה22/2</StreetName>
    <ZipCode>7174212</ZipCode>
    <CityName>מודיעין-מכבים-רעות*</CityName>
    <FullName>נילי שץ</FullName>
    <Email>nilylaw@netvision.net.il</Email>
    <IsPublicationProhibited>false</IsPublicationProhibited>
  </dt_LegalEntityDetails>
  <dt_LegalEntityDetails>
    <PartyID>2</PartyID>
    <PartyTypeID>1</PartyTypeID>
    <DecisionID>0</DecisionID>
    <StreetName>הקירטון 5</StreetName>
    <CityName>מעלה אדומים</CityName>
    <FullName>שני דהן</FullName>
    <Email>shanisr1@hotmail.com</Email>
    <IsPublicationProhibited>false</IsPublicationProhibited>
  </dt_LegalEntityDetails>
  <dt_CaseJudicalPersonActive>
    <CaseJudicalPerson>שופט בכיר איתי כץ</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AA32-17EE-4F42-933D-333B32ACD1B7}">
  <ds:schemaRefs/>
</ds:datastoreItem>
</file>

<file path=customXml/itemProps2.xml><?xml version="1.0" encoding="utf-8"?>
<ds:datastoreItem xmlns:ds="http://schemas.openxmlformats.org/officeDocument/2006/customXml" ds:itemID="{59CAFAE9-8C5D-4517-B637-0C0386D7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3705</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2024-09-03T06:32:00Z</dcterms:created>
  <dcterms:modified xsi:type="dcterms:W3CDTF">2024-09-03T06:32:00Z</dcterms:modified>
</cp:coreProperties>
</file>